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2413080</w:t>
      </w:r>
    </w:p>
    <w:p>
      <w:pPr>
        <w:tabs>
          <w:tab w:val="left" w:pos="420"/>
          <w:tab w:val="left" w:pos="840"/>
          <w:tab w:val="left" w:pos="1260"/>
          <w:tab w:val="left" w:pos="1680"/>
          <w:tab w:val="left" w:pos="2100"/>
          <w:tab w:val="left" w:pos="2520"/>
        </w:tabs>
        <w:jc w:val="both"/>
        <w:rPr>
          <w:rFonts w:hint="eastAsia" w:ascii="Arial" w:hAnsi="Arial" w:eastAsia="宋体" w:cs="Arial"/>
          <w:b/>
          <w:sz w:val="24"/>
          <w:szCs w:val="24"/>
          <w:lang w:val="en-US"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w:t>
      </w:r>
      <w:r>
        <w:rPr>
          <w:rFonts w:hint="eastAsia" w:ascii="Arial" w:hAnsi="Arial" w:eastAsia="宋体" w:cs="Arial"/>
          <w:b/>
          <w:sz w:val="24"/>
          <w:szCs w:val="24"/>
          <w:lang w:val="en-US"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w:t>
      </w:r>
      <w:bookmarkStart w:id="4" w:name="_GoBack"/>
      <w:bookmarkEnd w:id="4"/>
      <w:r>
        <w:rPr>
          <w:rFonts w:hint="eastAsia" w:eastAsia="宋体"/>
          <w:color w:val="auto"/>
          <w:sz w:val="24"/>
          <w:lang w:val="en-US" w:eastAsia="zh-CN"/>
        </w:rPr>
        <w:t>M aspects of R19 NR MIMO Phase 5</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8.18.3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eastAsia" w:cs="Arial"/>
          <w:lang w:val="en-US" w:eastAsia="zh-CN"/>
        </w:rPr>
      </w:pPr>
      <w:r>
        <w:rPr>
          <w:rFonts w:hint="eastAsia" w:cs="Arial"/>
          <w:lang w:val="en-US" w:eastAsia="zh-CN"/>
        </w:rPr>
        <w:t>The Rel-19 WID of NR MIMO Phase 5 was approved in [1]. We listed all the objectives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overflowPunct/>
              <w:autoSpaceDE/>
              <w:autoSpaceDN/>
              <w:adjustRightInd/>
              <w:snapToGrid w:val="0"/>
              <w:spacing w:after="0"/>
              <w:textAlignment w:val="auto"/>
              <w:rPr>
                <w:rFonts w:eastAsia="Times New Roman"/>
                <w:szCs w:val="24"/>
                <w:lang w:val="en-US" w:eastAsia="en-US"/>
              </w:rPr>
            </w:pPr>
            <w:bookmarkStart w:id="0" w:name="_Hlk145555364"/>
            <w:bookmarkStart w:id="1" w:name="_Hlk146642115"/>
            <w:r>
              <w:rPr>
                <w:rFonts w:eastAsia="Times New Roman"/>
                <w:szCs w:val="24"/>
                <w:lang w:val="en-US"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UL signaling content(s) (and procedure(s) as required) for UE-initiated/event-driven beam reporting facilitating fast beam switching </w:t>
            </w:r>
          </w:p>
          <w:p>
            <w:pPr>
              <w:numPr>
                <w:ilvl w:val="1"/>
                <w:numId w:val="4"/>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UL signaling medium/container considering the UE-initiated/event-driven nature of the UL transmission, designed primarily for the purpose of beam reporting</w:t>
            </w:r>
            <w:bookmarkEnd w:id="0"/>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bookmarkStart w:id="2" w:name="_Hlk146697700"/>
            <w:r>
              <w:rPr>
                <w:rFonts w:eastAsia="Times New Roman"/>
                <w:szCs w:val="24"/>
                <w:lang w:val="en-US" w:eastAsia="en-US"/>
              </w:rPr>
              <w:t>Specify CSI support for up to 128 CSI-RS ports, targeting FR1</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pPr>
              <w:numPr>
                <w:ilvl w:val="1"/>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xml:space="preserve">Specify UE reporting enhancement for CJT deployments under non-ideal synchronization and backhaul, targeting FR1, both FDD and TDD </w:t>
            </w:r>
          </w:p>
          <w:p>
            <w:pPr>
              <w:numPr>
                <w:ilvl w:val="0"/>
                <w:numId w:val="6"/>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Inter-TRP time misalignment and frequency/phase offset measurement and reporting, assuming legacy CSI-RS design, with stand-alone aperiodic reporting on PUSCH</w:t>
            </w:r>
          </w:p>
          <w:p>
            <w:p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 </w:t>
            </w: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Specify non-coherent UL codebook to facilitate 3-antenna-port codebook-based transmissions, without enhancement on UL full power transmission and without enhancement on SRS resource</w:t>
            </w:r>
          </w:p>
          <w:p>
            <w:pPr>
              <w:numPr>
                <w:ilvl w:val="0"/>
                <w:numId w:val="0"/>
              </w:numPr>
              <w:overflowPunct/>
              <w:autoSpaceDE/>
              <w:autoSpaceDN/>
              <w:adjustRightInd/>
              <w:snapToGrid w:val="0"/>
              <w:spacing w:after="0"/>
              <w:ind w:left="0" w:firstLine="720"/>
              <w:textAlignment w:val="auto"/>
              <w:rPr>
                <w:rFonts w:eastAsia="Times New Roman"/>
                <w:szCs w:val="24"/>
                <w:lang w:val="en-US" w:eastAsia="en-US"/>
              </w:rPr>
            </w:pPr>
            <w:r>
              <w:rPr>
                <w:rFonts w:eastAsia="Times New Roman"/>
                <w:szCs w:val="24"/>
                <w:lang w:val="en-US" w:eastAsia="en-US"/>
              </w:rPr>
              <w:t>Note: UL full power transmission mode 1 and 2 are not supported.</w:t>
            </w:r>
          </w:p>
          <w:p>
            <w:pPr>
              <w:overflowPunct/>
              <w:autoSpaceDE/>
              <w:autoSpaceDN/>
              <w:adjustRightInd/>
              <w:snapToGrid w:val="0"/>
              <w:spacing w:after="0"/>
              <w:textAlignment w:val="auto"/>
              <w:rPr>
                <w:rFonts w:eastAsia="Times New Roman"/>
                <w:szCs w:val="24"/>
                <w:lang w:val="en-US" w:eastAsia="en-US"/>
              </w:rPr>
            </w:pPr>
          </w:p>
          <w:p>
            <w:pPr>
              <w:numPr>
                <w:ilvl w:val="0"/>
                <w:numId w:val="5"/>
              </w:numPr>
              <w:overflowPunct/>
              <w:autoSpaceDE/>
              <w:autoSpaceDN/>
              <w:adjustRightInd/>
              <w:snapToGrid w:val="0"/>
              <w:spacing w:after="0"/>
              <w:textAlignment w:val="auto"/>
              <w:rPr>
                <w:rFonts w:eastAsia="Times New Roman"/>
                <w:szCs w:val="24"/>
                <w:lang w:val="en-US" w:eastAsia="en-US"/>
              </w:rPr>
            </w:pPr>
            <w:r>
              <w:rPr>
                <w:rFonts w:eastAsia="Times New Roman"/>
                <w:szCs w:val="24"/>
                <w:lang w:val="en-US" w:eastAsia="en-US"/>
              </w:rPr>
              <w:t>Specify enhancement for asymmetric DL sTRP/UL mTRP deployment scenarios, assuming intra-band intra-DU non-co-located mTRP scenarios,</w:t>
            </w:r>
            <w:r>
              <w:rPr>
                <w:rFonts w:eastAsia="Times New Roman"/>
                <w:szCs w:val="24"/>
                <w:highlight w:val="none"/>
                <w:lang w:val="en-US" w:eastAsia="en-US"/>
              </w:rPr>
              <w:t xml:space="preserve"> without changing existing cell definition or defining a new cell (e.g. UL-only cell),</w:t>
            </w:r>
            <w:r>
              <w:rPr>
                <w:rFonts w:eastAsia="Times New Roman"/>
                <w:szCs w:val="24"/>
                <w:lang w:val="en-US" w:eastAsia="en-US"/>
              </w:rPr>
              <w:t xml:space="preserve"> assuming the Rel-17/18 unified TCI framework</w:t>
            </w:r>
            <w:r>
              <w:rPr>
                <w:rFonts w:eastAsia="Times New Roman"/>
                <w:sz w:val="24"/>
                <w:szCs w:val="24"/>
                <w:lang w:val="en-US" w:eastAsia="en-US"/>
              </w:rPr>
              <w:t xml:space="preserve"> </w:t>
            </w:r>
            <w:r>
              <w:rPr>
                <w:rFonts w:eastAsia="Times New Roman"/>
                <w:szCs w:val="24"/>
                <w:lang w:val="en-US" w:eastAsia="en-US"/>
              </w:rPr>
              <w:t xml:space="preserve">and fully reusing the legacy QCL/UL spatial relation rules, targeting FR1 and FR2 </w:t>
            </w:r>
          </w:p>
          <w:p>
            <w:pPr>
              <w:numPr>
                <w:ilvl w:val="1"/>
                <w:numId w:val="5"/>
              </w:numPr>
              <w:overflowPunct/>
              <w:autoSpaceDE/>
              <w:autoSpaceDN/>
              <w:adjustRightInd/>
              <w:snapToGrid w:val="0"/>
              <w:spacing w:after="0"/>
              <w:textAlignment w:val="auto"/>
              <w:rPr>
                <w:rFonts w:hint="eastAsia" w:cs="Arial"/>
                <w:vertAlign w:val="baseline"/>
                <w:lang w:val="en-US" w:eastAsia="zh-CN"/>
              </w:rPr>
            </w:pPr>
            <w:r>
              <w:rPr>
                <w:rFonts w:eastAsia="Times New Roman"/>
                <w:szCs w:val="24"/>
                <w:lang w:val="en-US" w:eastAsia="en-US"/>
              </w:rPr>
              <w:t xml:space="preserve">Two closed-loop PC adjustment states for SRS, both separate from PUSCH; and pathloss offset configurations for pathloss calculation to UL TRP(s), when the pathloss RS is from DL sTRP. </w:t>
            </w:r>
            <w:bookmarkEnd w:id="1"/>
          </w:p>
        </w:tc>
      </w:tr>
    </w:tbl>
    <w:p>
      <w:pPr>
        <w:pStyle w:val="9"/>
        <w:bidi w:val="0"/>
        <w:rPr>
          <w:rFonts w:hint="eastAsia" w:cs="Arial"/>
          <w:lang w:val="en-US" w:eastAsia="zh-CN"/>
        </w:rPr>
      </w:pPr>
      <w:r>
        <w:rPr>
          <w:rFonts w:hint="eastAsia" w:cs="Arial"/>
          <w:lang w:val="en-US" w:eastAsia="zh-CN"/>
        </w:rPr>
        <w:t>All these five objectives are covered by RAN1. From RAN4 RRM perspective, we believe partial of them are less related to RRM, so we assume to pay much effort to the objectives which have obvious RRM tasks. Follow such assumption, we want to provide some initial analysis around the following two objectives in this meeting:</w:t>
      </w:r>
    </w:p>
    <w:p>
      <w:pPr>
        <w:pStyle w:val="9"/>
        <w:numPr>
          <w:ilvl w:val="0"/>
          <w:numId w:val="7"/>
        </w:numPr>
        <w:bidi w:val="0"/>
        <w:rPr>
          <w:rFonts w:hint="default" w:cs="Arial"/>
          <w:b w:val="0"/>
          <w:bCs w:val="0"/>
          <w:lang w:val="en-US" w:eastAsia="zh-CN"/>
        </w:rPr>
      </w:pPr>
      <w:r>
        <w:rPr>
          <w:rFonts w:hint="eastAsia" w:cs="Arial"/>
          <w:b w:val="0"/>
          <w:bCs w:val="0"/>
          <w:lang w:val="en-US" w:eastAsia="zh-CN"/>
        </w:rPr>
        <w:t>UE-initiated/event-driven beam management</w:t>
      </w:r>
    </w:p>
    <w:p>
      <w:pPr>
        <w:pStyle w:val="9"/>
        <w:numPr>
          <w:ilvl w:val="0"/>
          <w:numId w:val="7"/>
        </w:numPr>
        <w:bidi w:val="0"/>
        <w:rPr>
          <w:rFonts w:hint="default" w:cs="Arial"/>
          <w:b w:val="0"/>
          <w:bCs w:val="0"/>
          <w:lang w:val="en-US" w:eastAsia="zh-CN"/>
        </w:rPr>
      </w:pPr>
      <w:r>
        <w:rPr>
          <w:rFonts w:hint="eastAsia" w:cs="Arial"/>
          <w:b w:val="0"/>
          <w:bCs w:val="0"/>
          <w:lang w:val="en-US" w:eastAsia="zh-CN"/>
        </w:rPr>
        <w:t>The enhancement for asymmetric DL sTRP/UL mTRP deployment scenarios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 xml:space="preserve"> </w:t>
      </w:r>
      <w:r>
        <w:rPr>
          <w:rFonts w:hint="eastAsia" w:ascii="Arial" w:hAnsi="Arial" w:cs="Arial"/>
          <w:sz w:val="24"/>
          <w:szCs w:val="24"/>
          <w:lang w:val="en-US" w:eastAsia="zh-CN"/>
        </w:rPr>
        <w:t xml:space="preserve">UE-initiated/event-driven beam management </w:t>
      </w:r>
    </w:p>
    <w:p>
      <w:pPr>
        <w:pStyle w:val="9"/>
        <w:bidi w:val="0"/>
        <w:rPr>
          <w:rFonts w:hint="eastAsia"/>
          <w:lang w:val="en-US" w:eastAsia="zh-CN"/>
        </w:rPr>
      </w:pPr>
      <w:r>
        <w:rPr>
          <w:rFonts w:hint="eastAsia"/>
          <w:lang w:val="en-US" w:eastAsia="zh-CN"/>
        </w:rPr>
        <w:t>Ever since Rel-15, NR has supported intra-cell beam management. During Rel-17, inter-cell beam management(ICBM) was studied and specified. So actually until now, both intra-cell and inter-cell beam management are allowed. While all the legacy intra-cell and inter-cell beam management are NW-initiated. In terms of the beam management resource configuration, periodic, semi-persistent and aperiodic measurement resource are candidates.With respect to the reporting, similarly, periodic, semi-persistent and aperiodic reporting are allowed with some principle defined between the mapping of resource and reporting. All types of reporting are NW-initiated, in other words, only NW could trigger the beam measurement results reporting. Consequently, even the UE detects no need to update the current beam based on the measurement results, once the reporting is configured or activated or indicated by NW, the UE has to report the quantities configured in the corresponding report configuration.</w:t>
      </w:r>
    </w:p>
    <w:p>
      <w:pPr>
        <w:pStyle w:val="9"/>
        <w:bidi w:val="0"/>
        <w:rPr>
          <w:rFonts w:hint="eastAsia"/>
          <w:lang w:val="en-US" w:eastAsia="zh-CN"/>
        </w:rPr>
      </w:pPr>
      <w:r>
        <w:rPr>
          <w:rFonts w:hint="eastAsia"/>
          <w:lang w:val="en-US" w:eastAsia="zh-CN"/>
        </w:rPr>
        <w:t xml:space="preserve">Actually the factors which would lead to beam switching including UE movement and rotation, all these factors are not controlled by NW, so only UE is aware of these. So no matter for the sake of beam management latency reduction or to save the reporting overhead, it seems the UE-initiated beam management is more efficient and effective. </w:t>
      </w:r>
    </w:p>
    <w:p>
      <w:pPr>
        <w:pStyle w:val="4"/>
        <w:bidi w:val="0"/>
        <w:rPr>
          <w:rFonts w:hint="eastAsia" w:ascii="Arial" w:hAnsi="Arial" w:eastAsia="MS Mincho" w:cs="Arial"/>
          <w:b/>
          <w:bCs/>
          <w:iCs/>
          <w:kern w:val="32"/>
          <w:sz w:val="24"/>
          <w:szCs w:val="24"/>
          <w:lang w:val="en-US" w:eastAsia="zh-CN" w:bidi="ar-SA"/>
        </w:rPr>
      </w:pPr>
      <w:r>
        <w:rPr>
          <w:rFonts w:hint="default" w:ascii="Arial" w:hAnsi="Arial" w:eastAsia="MS Mincho" w:cs="Arial"/>
          <w:b/>
          <w:bCs/>
          <w:iCs/>
          <w:kern w:val="32"/>
          <w:sz w:val="24"/>
          <w:szCs w:val="24"/>
          <w:lang w:val="en-US" w:eastAsia="zh-CN" w:bidi="ar-SA"/>
        </w:rPr>
        <w:t>2.</w:t>
      </w:r>
      <w:r>
        <w:rPr>
          <w:rFonts w:hint="eastAsia" w:ascii="Arial" w:hAnsi="Arial" w:eastAsia="MS Mincho" w:cs="Arial"/>
          <w:b/>
          <w:bCs/>
          <w:iCs/>
          <w:kern w:val="32"/>
          <w:sz w:val="24"/>
          <w:szCs w:val="24"/>
          <w:lang w:val="en-US" w:eastAsia="zh-CN" w:bidi="ar-SA"/>
        </w:rPr>
        <w:t>1.1</w:t>
      </w:r>
      <w:r>
        <w:rPr>
          <w:rFonts w:hint="default" w:ascii="Arial" w:hAnsi="Arial" w:eastAsia="MS Mincho" w:cs="Arial"/>
          <w:b/>
          <w:bCs/>
          <w:iCs/>
          <w:kern w:val="32"/>
          <w:sz w:val="24"/>
          <w:szCs w:val="24"/>
          <w:lang w:val="en-US" w:eastAsia="zh-CN" w:bidi="ar-SA"/>
        </w:rPr>
        <w:t xml:space="preserve"> </w:t>
      </w:r>
      <w:r>
        <w:rPr>
          <w:rFonts w:hint="eastAsia" w:ascii="Arial" w:hAnsi="Arial" w:eastAsia="MS Mincho" w:cs="Arial"/>
          <w:b/>
          <w:bCs/>
          <w:iCs/>
          <w:kern w:val="32"/>
          <w:sz w:val="24"/>
          <w:szCs w:val="24"/>
          <w:lang w:val="en-US" w:eastAsia="zh-CN" w:bidi="ar-SA"/>
        </w:rPr>
        <w:t>Overview of RAN1 progress</w:t>
      </w:r>
    </w:p>
    <w:p>
      <w:pPr>
        <w:pStyle w:val="9"/>
        <w:bidi w:val="0"/>
        <w:rPr>
          <w:rFonts w:hint="eastAsia"/>
          <w:lang w:val="en-US" w:eastAsia="zh-CN"/>
        </w:rPr>
      </w:pPr>
      <w:r>
        <w:rPr>
          <w:rFonts w:hint="eastAsia"/>
          <w:lang w:val="en-US" w:eastAsia="zh-CN"/>
        </w:rPr>
        <w:t>Before diving into the analysis from RAN4 aspects, we need to summarize the RAN1 progress, which would draw the whole picture of the UE-initiated beam management. On top of this, we can identify RAN4 tasks. We review the RAN1 progress from the following aspects:</w:t>
      </w:r>
    </w:p>
    <w:p>
      <w:pPr>
        <w:pStyle w:val="9"/>
        <w:numPr>
          <w:ilvl w:val="0"/>
          <w:numId w:val="8"/>
        </w:numPr>
        <w:bidi w:val="0"/>
        <w:ind w:left="420" w:leftChars="0" w:hanging="420" w:firstLineChars="0"/>
        <w:rPr>
          <w:rFonts w:hint="default"/>
          <w:lang w:val="en-US" w:eastAsia="zh-CN"/>
        </w:rPr>
      </w:pPr>
      <w:r>
        <w:rPr>
          <w:rFonts w:hint="eastAsia"/>
          <w:lang w:val="en-US" w:eastAsia="zh-CN"/>
        </w:rPr>
        <w:t>General procedures</w:t>
      </w:r>
    </w:p>
    <w:p>
      <w:pPr>
        <w:pStyle w:val="9"/>
        <w:numPr>
          <w:ilvl w:val="0"/>
          <w:numId w:val="8"/>
        </w:numPr>
        <w:bidi w:val="0"/>
        <w:ind w:left="420" w:leftChars="0" w:hanging="420" w:firstLineChars="0"/>
        <w:rPr>
          <w:rFonts w:hint="default"/>
          <w:lang w:val="en-US" w:eastAsia="zh-CN"/>
        </w:rPr>
      </w:pPr>
      <w:r>
        <w:rPr>
          <w:rFonts w:hint="default"/>
          <w:lang w:val="en-US" w:eastAsia="zh-CN"/>
        </w:rPr>
        <w:t>Measurement quantity &amp; Report content</w:t>
      </w:r>
    </w:p>
    <w:p>
      <w:pPr>
        <w:pStyle w:val="9"/>
        <w:numPr>
          <w:ilvl w:val="0"/>
          <w:numId w:val="8"/>
        </w:numPr>
        <w:bidi w:val="0"/>
        <w:ind w:left="420" w:leftChars="0" w:hanging="420" w:firstLineChars="0"/>
        <w:rPr>
          <w:rFonts w:hint="default"/>
          <w:lang w:val="en-US" w:eastAsia="zh-CN"/>
        </w:rPr>
      </w:pPr>
      <w:r>
        <w:rPr>
          <w:rFonts w:hint="default"/>
          <w:lang w:val="en-US" w:eastAsia="zh-CN"/>
        </w:rPr>
        <w:t>Trigger-event detection and measurement RS</w:t>
      </w:r>
    </w:p>
    <w:p>
      <w:pPr>
        <w:pStyle w:val="9"/>
        <w:bidi w:val="0"/>
        <w:rPr>
          <w:rFonts w:hint="eastAsia"/>
          <w:b/>
          <w:u w:val="single"/>
          <w:lang w:val="en-US" w:eastAsia="ko-KR"/>
        </w:rPr>
      </w:pPr>
      <w:r>
        <w:rPr>
          <w:rFonts w:hint="eastAsia"/>
          <w:b/>
          <w:u w:val="single"/>
          <w:lang w:val="en-US" w:eastAsia="ko-KR"/>
        </w:rPr>
        <w:t>General procedures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eastAsia="宋体"/>
                <w:lang w:val="en-US" w:eastAsia="zh-CN"/>
              </w:rPr>
            </w:pPr>
            <w:r>
              <w:rPr>
                <w:rFonts w:hint="eastAsia"/>
                <w:lang w:val="en-US" w:eastAsia="zh-CN"/>
              </w:rPr>
              <w:t>RAN1#116 meeting:</w:t>
            </w:r>
          </w:p>
          <w:p>
            <w:pPr>
              <w:numPr>
                <w:ilvl w:val="0"/>
                <w:numId w:val="0"/>
              </w:numPr>
            </w:pPr>
            <w:r>
              <w:drawing>
                <wp:inline distT="0" distB="0" distL="114300" distR="114300">
                  <wp:extent cx="5271770" cy="1881505"/>
                  <wp:effectExtent l="0" t="0" r="1270" b="8255"/>
                  <wp:docPr id="7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33"/>
                          <pic:cNvPicPr>
                            <a:picLocks noChangeAspect="1"/>
                          </pic:cNvPicPr>
                        </pic:nvPicPr>
                        <pic:blipFill>
                          <a:blip r:embed="rId5"/>
                          <a:stretch>
                            <a:fillRect/>
                          </a:stretch>
                        </pic:blipFill>
                        <pic:spPr>
                          <a:xfrm>
                            <a:off x="0" y="0"/>
                            <a:ext cx="5271770" cy="1881505"/>
                          </a:xfrm>
                          <a:prstGeom prst="rect">
                            <a:avLst/>
                          </a:prstGeom>
                          <a:noFill/>
                          <a:ln>
                            <a:noFill/>
                          </a:ln>
                        </pic:spPr>
                      </pic:pic>
                    </a:graphicData>
                  </a:graphic>
                </wp:inline>
              </w:drawing>
            </w:r>
          </w:p>
          <w:p>
            <w:pPr>
              <w:numPr>
                <w:ilvl w:val="0"/>
                <w:numId w:val="0"/>
              </w:numPr>
            </w:pPr>
            <w:r>
              <w:rPr>
                <w:rFonts w:hint="eastAsia"/>
                <w:lang w:val="en-US" w:eastAsia="zh-CN"/>
              </w:rPr>
              <w:t>RAN1#116bis meeting:</w:t>
            </w:r>
          </w:p>
          <w:p>
            <w:pPr>
              <w:numPr>
                <w:ilvl w:val="0"/>
                <w:numId w:val="0"/>
              </w:numPr>
            </w:pPr>
            <w:r>
              <w:drawing>
                <wp:inline distT="0" distB="0" distL="114300" distR="114300">
                  <wp:extent cx="5401310" cy="2037080"/>
                  <wp:effectExtent l="0" t="0" r="8890" b="508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6"/>
                          <a:stretch>
                            <a:fillRect/>
                          </a:stretch>
                        </pic:blipFill>
                        <pic:spPr>
                          <a:xfrm>
                            <a:off x="0" y="0"/>
                            <a:ext cx="5401310" cy="2037080"/>
                          </a:xfrm>
                          <a:prstGeom prst="rect">
                            <a:avLst/>
                          </a:prstGeom>
                          <a:noFill/>
                          <a:ln>
                            <a:noFill/>
                          </a:ln>
                        </pic:spPr>
                      </pic:pic>
                    </a:graphicData>
                  </a:graphic>
                </wp:inline>
              </w:drawing>
            </w:r>
          </w:p>
          <w:p>
            <w:pPr>
              <w:numPr>
                <w:ilvl w:val="0"/>
                <w:numId w:val="0"/>
              </w:numPr>
            </w:pPr>
            <w:r>
              <w:rPr>
                <w:rFonts w:hint="eastAsia"/>
                <w:lang w:val="en-US" w:eastAsia="zh-CN"/>
              </w:rPr>
              <w:t>RAN1#117 meeting:</w:t>
            </w:r>
          </w:p>
          <w:p>
            <w:pPr>
              <w:numPr>
                <w:ilvl w:val="0"/>
                <w:numId w:val="0"/>
              </w:numPr>
              <w:rPr>
                <w:rFonts w:hint="eastAsia"/>
                <w:lang w:val="en-US" w:eastAsia="zh-CN"/>
              </w:rPr>
            </w:pPr>
            <w:r>
              <w:drawing>
                <wp:inline distT="0" distB="0" distL="114300" distR="114300">
                  <wp:extent cx="5476240" cy="2005330"/>
                  <wp:effectExtent l="0" t="0" r="10160" b="6350"/>
                  <wp:docPr id="7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2"/>
                          <pic:cNvPicPr>
                            <a:picLocks noChangeAspect="1"/>
                          </pic:cNvPicPr>
                        </pic:nvPicPr>
                        <pic:blipFill>
                          <a:blip r:embed="rId7"/>
                          <a:stretch>
                            <a:fillRect/>
                          </a:stretch>
                        </pic:blipFill>
                        <pic:spPr>
                          <a:xfrm>
                            <a:off x="0" y="0"/>
                            <a:ext cx="5476240" cy="2005330"/>
                          </a:xfrm>
                          <a:prstGeom prst="rect">
                            <a:avLst/>
                          </a:prstGeom>
                          <a:noFill/>
                          <a:ln>
                            <a:noFill/>
                          </a:ln>
                        </pic:spPr>
                      </pic:pic>
                    </a:graphicData>
                  </a:graphic>
                </wp:inline>
              </w:drawing>
            </w:r>
          </w:p>
        </w:tc>
      </w:tr>
    </w:tbl>
    <w:p>
      <w:pPr>
        <w:pStyle w:val="9"/>
        <w:bidi w:val="0"/>
        <w:rPr>
          <w:rFonts w:hint="eastAsia"/>
          <w:lang w:val="en-US" w:eastAsia="zh-CN"/>
        </w:rPr>
      </w:pPr>
      <w:r>
        <w:rPr>
          <w:rFonts w:hint="eastAsia"/>
          <w:lang w:val="en-US" w:eastAsia="zh-CN"/>
        </w:rPr>
        <w:t>So based on the RAN1 progress, the general procedure of the UE-initiated beam management follow the following steps:</w:t>
      </w:r>
    </w:p>
    <w:p>
      <w:pPr>
        <w:pStyle w:val="9"/>
        <w:bidi w:val="0"/>
        <w:rPr>
          <w:rFonts w:hint="eastAsia"/>
          <w:lang w:val="en-US" w:eastAsia="zh-CN"/>
        </w:rPr>
      </w:pPr>
      <w:r>
        <w:rPr>
          <w:rFonts w:hint="eastAsia"/>
          <w:lang w:val="en-US" w:eastAsia="zh-CN"/>
        </w:rPr>
        <w:t>Step 1: UE performs the measurement and detects whether the event/condition met</w:t>
      </w:r>
    </w:p>
    <w:p>
      <w:pPr>
        <w:pStyle w:val="9"/>
        <w:bidi w:val="0"/>
        <w:rPr>
          <w:rFonts w:hint="eastAsia"/>
          <w:lang w:val="en-US" w:eastAsia="zh-CN"/>
        </w:rPr>
      </w:pPr>
      <w:r>
        <w:rPr>
          <w:rFonts w:hint="eastAsia"/>
          <w:lang w:val="en-US" w:eastAsia="zh-CN"/>
        </w:rPr>
        <w:t>Step 2: UE request UL resource to upload the measurement reporting once the event/condition met</w:t>
      </w:r>
    </w:p>
    <w:p>
      <w:pPr>
        <w:pStyle w:val="9"/>
        <w:bidi w:val="0"/>
        <w:rPr>
          <w:rFonts w:hint="eastAsia"/>
          <w:lang w:val="en-US" w:eastAsia="zh-CN"/>
        </w:rPr>
      </w:pPr>
      <w:r>
        <w:rPr>
          <w:rFonts w:hint="eastAsia"/>
          <w:lang w:val="en-US" w:eastAsia="zh-CN"/>
        </w:rPr>
        <w:t>Step 3: UE sends the measurement reporting to NW</w:t>
      </w:r>
    </w:p>
    <w:p>
      <w:pPr>
        <w:pStyle w:val="9"/>
        <w:bidi w:val="0"/>
        <w:rPr>
          <w:rFonts w:hint="eastAsia"/>
          <w:lang w:val="en-US" w:eastAsia="zh-CN"/>
        </w:rPr>
      </w:pPr>
      <w:r>
        <w:rPr>
          <w:rFonts w:hint="eastAsia"/>
          <w:lang w:val="en-US" w:eastAsia="zh-CN"/>
        </w:rPr>
        <w:t>Regarding how to design the request and report signalling and resource, which are RAN1 scope. From our RAN4 perspective, we focus on the measurement and detection requirements during the procedure.</w:t>
      </w:r>
    </w:p>
    <w:p>
      <w:pPr>
        <w:pStyle w:val="9"/>
        <w:bidi w:val="0"/>
        <w:rPr>
          <w:rFonts w:hint="eastAsia"/>
          <w:b/>
          <w:bCs/>
          <w:lang w:val="en-US" w:eastAsia="zh-CN"/>
        </w:rPr>
      </w:pPr>
      <w:r>
        <w:rPr>
          <w:rFonts w:hint="eastAsia"/>
          <w:b/>
          <w:bCs/>
          <w:lang w:val="en-US" w:eastAsia="zh-CN"/>
        </w:rPr>
        <w:t>Observation 1: RAN1 has decided the general procedure of UE-initiated beam management. During the whole procedure, RAN4 could focus on the measurement and detection requirements.</w:t>
      </w:r>
    </w:p>
    <w:p>
      <w:pPr>
        <w:pStyle w:val="9"/>
        <w:bidi w:val="0"/>
        <w:rPr>
          <w:rFonts w:hint="eastAsia"/>
          <w:b/>
          <w:bCs/>
          <w:lang w:val="en-US" w:eastAsia="zh-CN"/>
        </w:rPr>
      </w:pPr>
    </w:p>
    <w:p>
      <w:pPr>
        <w:pStyle w:val="9"/>
        <w:bidi w:val="0"/>
        <w:rPr>
          <w:rFonts w:hint="eastAsia"/>
          <w:b/>
          <w:u w:val="single"/>
          <w:lang w:val="en-US" w:eastAsia="ko-KR"/>
        </w:rPr>
      </w:pPr>
      <w:r>
        <w:rPr>
          <w:rFonts w:hint="eastAsia" w:eastAsia="宋体"/>
          <w:b/>
          <w:u w:val="single"/>
          <w:lang w:val="en-US" w:eastAsia="zh-CN"/>
        </w:rPr>
        <w:t xml:space="preserve">Measured RS &amp; </w:t>
      </w:r>
      <w:r>
        <w:rPr>
          <w:rFonts w:hint="eastAsia"/>
          <w:b/>
          <w:u w:val="single"/>
          <w:lang w:val="en-US" w:eastAsia="ko-KR"/>
        </w:rPr>
        <w:t>Measurement quantity &amp; Report content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eastAsia="宋体"/>
                <w:lang w:val="en-US" w:eastAsia="zh-CN"/>
              </w:rPr>
            </w:pPr>
            <w:r>
              <w:rPr>
                <w:rFonts w:hint="eastAsia"/>
                <w:lang w:val="en-US" w:eastAsia="zh-CN"/>
              </w:rPr>
              <w:t>RAN1#116 meeting:</w:t>
            </w:r>
          </w:p>
          <w:p>
            <w:pPr>
              <w:numPr>
                <w:ilvl w:val="0"/>
                <w:numId w:val="0"/>
              </w:numPr>
            </w:pPr>
            <w:r>
              <w:drawing>
                <wp:inline distT="0" distB="0" distL="114300" distR="114300">
                  <wp:extent cx="5266055" cy="800735"/>
                  <wp:effectExtent l="0" t="0" r="6985" b="698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tretch>
                            <a:fillRect/>
                          </a:stretch>
                        </pic:blipFill>
                        <pic:spPr>
                          <a:xfrm>
                            <a:off x="0" y="0"/>
                            <a:ext cx="5266055" cy="800735"/>
                          </a:xfrm>
                          <a:prstGeom prst="rect">
                            <a:avLst/>
                          </a:prstGeom>
                          <a:noFill/>
                          <a:ln>
                            <a:noFill/>
                          </a:ln>
                        </pic:spPr>
                      </pic:pic>
                    </a:graphicData>
                  </a:graphic>
                </wp:inline>
              </w:drawing>
            </w:r>
          </w:p>
          <w:p>
            <w:pPr>
              <w:numPr>
                <w:ilvl w:val="0"/>
                <w:numId w:val="0"/>
              </w:numPr>
            </w:pPr>
            <w:r>
              <w:drawing>
                <wp:inline distT="0" distB="0" distL="114300" distR="114300">
                  <wp:extent cx="5273675" cy="711200"/>
                  <wp:effectExtent l="0" t="0" r="14605" b="50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9"/>
                          <a:stretch>
                            <a:fillRect/>
                          </a:stretch>
                        </pic:blipFill>
                        <pic:spPr>
                          <a:xfrm>
                            <a:off x="0" y="0"/>
                            <a:ext cx="5273675" cy="711200"/>
                          </a:xfrm>
                          <a:prstGeom prst="rect">
                            <a:avLst/>
                          </a:prstGeom>
                          <a:noFill/>
                          <a:ln>
                            <a:noFill/>
                          </a:ln>
                        </pic:spPr>
                      </pic:pic>
                    </a:graphicData>
                  </a:graphic>
                </wp:inline>
              </w:drawing>
            </w:r>
          </w:p>
          <w:p>
            <w:pPr>
              <w:numPr>
                <w:ilvl w:val="0"/>
                <w:numId w:val="0"/>
              </w:numPr>
            </w:pPr>
            <w:r>
              <w:rPr>
                <w:rFonts w:hint="eastAsia"/>
                <w:lang w:val="en-US" w:eastAsia="zh-CN"/>
              </w:rPr>
              <w:t>RAN1#116 bis meeting:</w:t>
            </w:r>
          </w:p>
          <w:p>
            <w:pPr>
              <w:numPr>
                <w:ilvl w:val="0"/>
                <w:numId w:val="0"/>
              </w:numPr>
            </w:pPr>
            <w:r>
              <w:drawing>
                <wp:inline distT="0" distB="0" distL="114300" distR="114300">
                  <wp:extent cx="5370195" cy="1799590"/>
                  <wp:effectExtent l="0" t="0" r="9525" b="1397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0"/>
                          <a:stretch>
                            <a:fillRect/>
                          </a:stretch>
                        </pic:blipFill>
                        <pic:spPr>
                          <a:xfrm>
                            <a:off x="0" y="0"/>
                            <a:ext cx="5370195" cy="1799590"/>
                          </a:xfrm>
                          <a:prstGeom prst="rect">
                            <a:avLst/>
                          </a:prstGeom>
                          <a:noFill/>
                          <a:ln>
                            <a:noFill/>
                          </a:ln>
                        </pic:spPr>
                      </pic:pic>
                    </a:graphicData>
                  </a:graphic>
                </wp:inline>
              </w:drawing>
            </w:r>
          </w:p>
          <w:p>
            <w:pPr>
              <w:numPr>
                <w:ilvl w:val="0"/>
                <w:numId w:val="0"/>
              </w:numPr>
            </w:pPr>
            <w:r>
              <w:drawing>
                <wp:inline distT="0" distB="0" distL="114300" distR="114300">
                  <wp:extent cx="4562475" cy="1130300"/>
                  <wp:effectExtent l="0" t="0" r="9525" b="12700"/>
                  <wp:docPr id="1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2"/>
                          <pic:cNvPicPr>
                            <a:picLocks noChangeAspect="1"/>
                          </pic:cNvPicPr>
                        </pic:nvPicPr>
                        <pic:blipFill>
                          <a:blip r:embed="rId11"/>
                          <a:stretch>
                            <a:fillRect/>
                          </a:stretch>
                        </pic:blipFill>
                        <pic:spPr>
                          <a:xfrm>
                            <a:off x="0" y="0"/>
                            <a:ext cx="4562475" cy="1130300"/>
                          </a:xfrm>
                          <a:prstGeom prst="rect">
                            <a:avLst/>
                          </a:prstGeom>
                          <a:noFill/>
                          <a:ln>
                            <a:noFill/>
                          </a:ln>
                        </pic:spPr>
                      </pic:pic>
                    </a:graphicData>
                  </a:graphic>
                </wp:inline>
              </w:drawing>
            </w:r>
          </w:p>
          <w:p>
            <w:pPr>
              <w:numPr>
                <w:ilvl w:val="0"/>
                <w:numId w:val="0"/>
              </w:numPr>
            </w:pPr>
            <w:r>
              <w:drawing>
                <wp:inline distT="0" distB="0" distL="114300" distR="114300">
                  <wp:extent cx="5773420" cy="1130935"/>
                  <wp:effectExtent l="0" t="0" r="2540" b="12065"/>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12"/>
                          <a:stretch>
                            <a:fillRect/>
                          </a:stretch>
                        </pic:blipFill>
                        <pic:spPr>
                          <a:xfrm>
                            <a:off x="0" y="0"/>
                            <a:ext cx="5773420" cy="1130935"/>
                          </a:xfrm>
                          <a:prstGeom prst="rect">
                            <a:avLst/>
                          </a:prstGeom>
                          <a:noFill/>
                          <a:ln>
                            <a:noFill/>
                          </a:ln>
                        </pic:spPr>
                      </pic:pic>
                    </a:graphicData>
                  </a:graphic>
                </wp:inline>
              </w:drawing>
            </w:r>
          </w:p>
          <w:p>
            <w:pPr>
              <w:numPr>
                <w:ilvl w:val="0"/>
                <w:numId w:val="0"/>
              </w:numPr>
            </w:pPr>
            <w:r>
              <w:rPr>
                <w:rFonts w:hint="eastAsia"/>
                <w:lang w:val="en-US" w:eastAsia="zh-CN"/>
              </w:rPr>
              <w:t>RAN1#117 meeting:</w:t>
            </w:r>
          </w:p>
          <w:p>
            <w:pPr>
              <w:numPr>
                <w:ilvl w:val="0"/>
                <w:numId w:val="0"/>
              </w:numPr>
            </w:pPr>
            <w:r>
              <w:drawing>
                <wp:inline distT="0" distB="0" distL="114300" distR="114300">
                  <wp:extent cx="5459095" cy="953135"/>
                  <wp:effectExtent l="0" t="0" r="12065" b="6985"/>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pic:cNvPicPr>
                        </pic:nvPicPr>
                        <pic:blipFill>
                          <a:blip r:embed="rId13"/>
                          <a:stretch>
                            <a:fillRect/>
                          </a:stretch>
                        </pic:blipFill>
                        <pic:spPr>
                          <a:xfrm>
                            <a:off x="0" y="0"/>
                            <a:ext cx="5459095" cy="953135"/>
                          </a:xfrm>
                          <a:prstGeom prst="rect">
                            <a:avLst/>
                          </a:prstGeom>
                          <a:noFill/>
                          <a:ln>
                            <a:noFill/>
                          </a:ln>
                        </pic:spPr>
                      </pic:pic>
                    </a:graphicData>
                  </a:graphic>
                </wp:inline>
              </w:drawing>
            </w:r>
          </w:p>
          <w:p>
            <w:pPr>
              <w:numPr>
                <w:ilvl w:val="0"/>
                <w:numId w:val="0"/>
              </w:numPr>
            </w:pPr>
            <w:r>
              <w:drawing>
                <wp:inline distT="0" distB="0" distL="114300" distR="114300">
                  <wp:extent cx="5539105" cy="685165"/>
                  <wp:effectExtent l="0" t="0" r="8255" b="635"/>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pic:cNvPicPr>
                        </pic:nvPicPr>
                        <pic:blipFill>
                          <a:blip r:embed="rId14"/>
                          <a:stretch>
                            <a:fillRect/>
                          </a:stretch>
                        </pic:blipFill>
                        <pic:spPr>
                          <a:xfrm>
                            <a:off x="0" y="0"/>
                            <a:ext cx="5539105" cy="685165"/>
                          </a:xfrm>
                          <a:prstGeom prst="rect">
                            <a:avLst/>
                          </a:prstGeom>
                          <a:noFill/>
                          <a:ln>
                            <a:noFill/>
                          </a:ln>
                        </pic:spPr>
                      </pic:pic>
                    </a:graphicData>
                  </a:graphic>
                </wp:inline>
              </w:drawing>
            </w:r>
          </w:p>
          <w:p>
            <w:pPr>
              <w:numPr>
                <w:ilvl w:val="0"/>
                <w:numId w:val="0"/>
              </w:numPr>
            </w:pPr>
            <w:r>
              <w:drawing>
                <wp:inline distT="0" distB="0" distL="114300" distR="114300">
                  <wp:extent cx="5582920" cy="1996440"/>
                  <wp:effectExtent l="0" t="0" r="10160" b="0"/>
                  <wp:docPr id="7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4"/>
                          <pic:cNvPicPr>
                            <a:picLocks noChangeAspect="1"/>
                          </pic:cNvPicPr>
                        </pic:nvPicPr>
                        <pic:blipFill>
                          <a:blip r:embed="rId15"/>
                          <a:stretch>
                            <a:fillRect/>
                          </a:stretch>
                        </pic:blipFill>
                        <pic:spPr>
                          <a:xfrm>
                            <a:off x="0" y="0"/>
                            <a:ext cx="5582920" cy="1996440"/>
                          </a:xfrm>
                          <a:prstGeom prst="rect">
                            <a:avLst/>
                          </a:prstGeom>
                          <a:noFill/>
                          <a:ln>
                            <a:noFill/>
                          </a:ln>
                        </pic:spPr>
                      </pic:pic>
                    </a:graphicData>
                  </a:graphic>
                </wp:inline>
              </w:drawing>
            </w:r>
          </w:p>
          <w:p>
            <w:pPr>
              <w:numPr>
                <w:ilvl w:val="0"/>
                <w:numId w:val="0"/>
              </w:numPr>
            </w:pPr>
            <w:r>
              <w:drawing>
                <wp:inline distT="0" distB="0" distL="114300" distR="114300">
                  <wp:extent cx="5532120" cy="1857375"/>
                  <wp:effectExtent l="0" t="0" r="0" b="1905"/>
                  <wp:docPr id="7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35"/>
                          <pic:cNvPicPr>
                            <a:picLocks noChangeAspect="1"/>
                          </pic:cNvPicPr>
                        </pic:nvPicPr>
                        <pic:blipFill>
                          <a:blip r:embed="rId16"/>
                          <a:stretch>
                            <a:fillRect/>
                          </a:stretch>
                        </pic:blipFill>
                        <pic:spPr>
                          <a:xfrm>
                            <a:off x="0" y="0"/>
                            <a:ext cx="5532120" cy="1857375"/>
                          </a:xfrm>
                          <a:prstGeom prst="rect">
                            <a:avLst/>
                          </a:prstGeom>
                          <a:noFill/>
                          <a:ln>
                            <a:noFill/>
                          </a:ln>
                        </pic:spPr>
                      </pic:pic>
                    </a:graphicData>
                  </a:graphic>
                </wp:inline>
              </w:drawing>
            </w:r>
          </w:p>
          <w:p>
            <w:pPr>
              <w:numPr>
                <w:ilvl w:val="0"/>
                <w:numId w:val="0"/>
              </w:numPr>
              <w:rPr>
                <w:rFonts w:hint="eastAsia"/>
                <w:lang w:val="en-US" w:eastAsia="zh-CN"/>
              </w:rPr>
            </w:pPr>
            <w:r>
              <w:drawing>
                <wp:inline distT="0" distB="0" distL="114300" distR="114300">
                  <wp:extent cx="5648960" cy="2078990"/>
                  <wp:effectExtent l="0" t="0" r="5080" b="8890"/>
                  <wp:docPr id="7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37"/>
                          <pic:cNvPicPr>
                            <a:picLocks noChangeAspect="1"/>
                          </pic:cNvPicPr>
                        </pic:nvPicPr>
                        <pic:blipFill>
                          <a:blip r:embed="rId17"/>
                          <a:stretch>
                            <a:fillRect/>
                          </a:stretch>
                        </pic:blipFill>
                        <pic:spPr>
                          <a:xfrm>
                            <a:off x="0" y="0"/>
                            <a:ext cx="5648960" cy="2078990"/>
                          </a:xfrm>
                          <a:prstGeom prst="rect">
                            <a:avLst/>
                          </a:prstGeom>
                          <a:noFill/>
                          <a:ln>
                            <a:noFill/>
                          </a:ln>
                        </pic:spPr>
                      </pic:pic>
                    </a:graphicData>
                  </a:graphic>
                </wp:inline>
              </w:drawing>
            </w:r>
          </w:p>
        </w:tc>
      </w:tr>
    </w:tbl>
    <w:p>
      <w:pPr>
        <w:pStyle w:val="9"/>
        <w:bidi w:val="0"/>
        <w:rPr>
          <w:rFonts w:hint="default"/>
          <w:lang w:val="en-US" w:eastAsia="zh-CN"/>
        </w:rPr>
      </w:pPr>
      <w:r>
        <w:rPr>
          <w:rFonts w:hint="eastAsia"/>
          <w:lang w:val="en-US" w:eastAsia="zh-CN"/>
        </w:rPr>
        <w:t>From the RAN1 progress, regarding the candidate RS to be measured, including three types: intra-cell SSB, inter-cell SSB and periodic CSI-RS for BM. Whether to extend the candidate RS to TRS, RAN1 is still in discussion.</w:t>
      </w:r>
    </w:p>
    <w:p>
      <w:pPr>
        <w:pStyle w:val="9"/>
        <w:bidi w:val="0"/>
        <w:rPr>
          <w:rFonts w:hint="eastAsia"/>
          <w:b/>
          <w:bCs/>
          <w:lang w:val="en-US" w:eastAsia="zh-CN"/>
        </w:rPr>
      </w:pPr>
      <w:r>
        <w:rPr>
          <w:rFonts w:hint="eastAsia"/>
          <w:b/>
          <w:bCs/>
          <w:lang w:val="en-US" w:eastAsia="zh-CN"/>
        </w:rPr>
        <w:t>Observation 2: RAN1 agreed to perform the L1-RSRP measurement based on intra-cell SSB, inter-cell SSB and periodic CSI-RS for BM. Whether to extend the candidate RS to TRS, RAN1 is still in discussion.</w:t>
      </w:r>
    </w:p>
    <w:p>
      <w:pPr>
        <w:pStyle w:val="9"/>
        <w:bidi w:val="0"/>
        <w:rPr>
          <w:rFonts w:hint="default"/>
          <w:lang w:val="en-US" w:eastAsia="zh-CN"/>
        </w:rPr>
      </w:pPr>
      <w:r>
        <w:rPr>
          <w:rFonts w:hint="eastAsia"/>
          <w:lang w:val="en-US" w:eastAsia="zh-CN"/>
        </w:rPr>
        <w:t>Regarding the report content, at least N+1 beams can be reported to NW:</w:t>
      </w:r>
    </w:p>
    <w:p>
      <w:pPr>
        <w:numPr>
          <w:ilvl w:val="0"/>
          <w:numId w:val="9"/>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N &gt;=1 </w:t>
      </w:r>
      <w:r>
        <w:rPr>
          <w:rFonts w:hint="eastAsia" w:eastAsia="MS Mincho" w:cs="Times New Roman"/>
          <w:szCs w:val="24"/>
          <w:lang w:val="en-US" w:eastAsia="zh-CN" w:bidi="ar-SA"/>
        </w:rPr>
        <w:t xml:space="preserve">new </w:t>
      </w:r>
      <w:r>
        <w:rPr>
          <w:rFonts w:hint="eastAsia" w:ascii="Arial" w:hAnsi="Arial" w:eastAsia="MS Mincho" w:cs="Times New Roman"/>
          <w:szCs w:val="24"/>
          <w:lang w:val="en-US" w:eastAsia="zh-CN" w:bidi="ar-SA"/>
        </w:rPr>
        <w:t>beams, including RS resource ID + L1-RSRP, N is configured by NW</w:t>
      </w:r>
      <w:r>
        <w:rPr>
          <w:rFonts w:hint="eastAsia" w:eastAsia="MS Mincho" w:cs="Times New Roman"/>
          <w:szCs w:val="24"/>
          <w:lang w:val="en-US" w:eastAsia="zh-CN" w:bidi="ar-SA"/>
        </w:rPr>
        <w:t>. The candidates of new beam may be</w:t>
      </w:r>
    </w:p>
    <w:p>
      <w:pPr>
        <w:numPr>
          <w:ilvl w:val="1"/>
          <w:numId w:val="10"/>
        </w:numPr>
        <w:ind w:left="840" w:leftChars="0" w:hanging="420" w:firstLineChars="0"/>
        <w:rPr>
          <w:rFonts w:hint="default" w:ascii="Arial" w:hAnsi="Arial" w:eastAsia="MS Mincho" w:cs="Times New Roman"/>
          <w:szCs w:val="24"/>
          <w:lang w:val="en-US" w:eastAsia="zh-CN" w:bidi="ar-SA"/>
        </w:rPr>
      </w:pPr>
      <w:r>
        <w:rPr>
          <w:rFonts w:hint="eastAsia" w:eastAsia="MS Mincho" w:cs="Times New Roman"/>
          <w:szCs w:val="24"/>
          <w:lang w:val="en-US" w:eastAsia="zh-CN" w:bidi="ar-SA"/>
        </w:rPr>
        <w:t>c</w:t>
      </w:r>
      <w:r>
        <w:rPr>
          <w:rFonts w:hint="eastAsia" w:ascii="Arial" w:hAnsi="Arial" w:eastAsia="MS Mincho" w:cs="Times New Roman"/>
          <w:szCs w:val="24"/>
          <w:lang w:val="en-US" w:eastAsia="zh-CN" w:bidi="ar-SA"/>
        </w:rPr>
        <w:t>onfigured by RRC explicitly</w:t>
      </w:r>
    </w:p>
    <w:p>
      <w:pPr>
        <w:numPr>
          <w:ilvl w:val="1"/>
          <w:numId w:val="10"/>
        </w:numPr>
        <w:ind w:left="840" w:leftChars="0" w:hanging="420" w:firstLineChars="0"/>
        <w:rPr>
          <w:rFonts w:hint="default" w:ascii="Arial" w:hAnsi="Arial" w:eastAsia="MS Mincho" w:cs="Times New Roman"/>
          <w:szCs w:val="24"/>
          <w:lang w:val="en-US" w:eastAsia="zh-CN" w:bidi="ar-SA"/>
        </w:rPr>
      </w:pPr>
      <w:r>
        <w:rPr>
          <w:rFonts w:hint="eastAsia" w:eastAsia="MS Mincho" w:cs="Times New Roman"/>
          <w:szCs w:val="24"/>
          <w:lang w:val="en-US" w:eastAsia="zh-CN" w:bidi="ar-SA"/>
        </w:rPr>
        <w:t>w</w:t>
      </w:r>
      <w:r>
        <w:rPr>
          <w:rFonts w:hint="eastAsia" w:ascii="Arial" w:hAnsi="Arial" w:eastAsia="MS Mincho" w:cs="Times New Roman"/>
          <w:szCs w:val="24"/>
          <w:lang w:val="en-US" w:eastAsia="zh-CN" w:bidi="ar-SA"/>
        </w:rPr>
        <w:t>ithin the QCL RS of active TCI states</w:t>
      </w:r>
    </w:p>
    <w:p>
      <w:pPr>
        <w:numPr>
          <w:ilvl w:val="1"/>
          <w:numId w:val="10"/>
        </w:numPr>
        <w:ind w:left="840" w:leftChars="0" w:hanging="420" w:firstLineChars="0"/>
        <w:rPr>
          <w:rFonts w:hint="default" w:ascii="Arial" w:hAnsi="Arial" w:eastAsia="MS Mincho" w:cs="Times New Roman"/>
          <w:szCs w:val="24"/>
          <w:lang w:val="en-US" w:eastAsia="zh-CN" w:bidi="ar-SA"/>
        </w:rPr>
      </w:pPr>
      <w:r>
        <w:rPr>
          <w:rFonts w:hint="eastAsia" w:eastAsia="MS Mincho" w:cs="Times New Roman"/>
          <w:szCs w:val="24"/>
          <w:lang w:val="en-US" w:eastAsia="zh-CN" w:bidi="ar-SA"/>
        </w:rPr>
        <w:t>w</w:t>
      </w:r>
      <w:r>
        <w:rPr>
          <w:rFonts w:hint="eastAsia" w:ascii="Arial" w:hAnsi="Arial" w:eastAsia="MS Mincho" w:cs="Times New Roman"/>
          <w:szCs w:val="24"/>
          <w:lang w:val="en-US" w:eastAsia="zh-CN" w:bidi="ar-SA"/>
        </w:rPr>
        <w:t>ithin the QCL RS of the configured TCI states</w:t>
      </w:r>
    </w:p>
    <w:p>
      <w:pPr>
        <w:numPr>
          <w:ilvl w:val="0"/>
          <w:numId w:val="9"/>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1 current beam, NW enable or disable whether </w:t>
      </w:r>
      <w:r>
        <w:rPr>
          <w:rFonts w:hint="eastAsia" w:eastAsia="MS Mincho" w:cs="Times New Roman"/>
          <w:szCs w:val="24"/>
          <w:lang w:val="en-US" w:eastAsia="zh-CN" w:bidi="ar-SA"/>
        </w:rPr>
        <w:t xml:space="preserve">to </w:t>
      </w:r>
      <w:r>
        <w:rPr>
          <w:rFonts w:hint="eastAsia" w:ascii="Arial" w:hAnsi="Arial" w:eastAsia="MS Mincho" w:cs="Times New Roman"/>
          <w:szCs w:val="24"/>
          <w:lang w:val="en-US" w:eastAsia="zh-CN" w:bidi="ar-SA"/>
        </w:rPr>
        <w:t xml:space="preserve">report current beam, </w:t>
      </w:r>
      <w:r>
        <w:rPr>
          <w:rFonts w:hint="eastAsia" w:eastAsia="MS Mincho" w:cs="Times New Roman"/>
          <w:szCs w:val="24"/>
          <w:lang w:val="en-US" w:eastAsia="zh-CN" w:bidi="ar-SA"/>
        </w:rPr>
        <w:t xml:space="preserve">support </w:t>
      </w:r>
      <w:r>
        <w:rPr>
          <w:rFonts w:hint="eastAsia" w:ascii="Arial" w:hAnsi="Arial" w:eastAsia="MS Mincho" w:cs="Times New Roman"/>
          <w:szCs w:val="24"/>
          <w:lang w:val="en-US" w:eastAsia="zh-CN" w:bidi="ar-SA"/>
        </w:rPr>
        <w:t>two schemes</w:t>
      </w:r>
    </w:p>
    <w:p>
      <w:pPr>
        <w:numPr>
          <w:ilvl w:val="1"/>
          <w:numId w:val="9"/>
        </w:numPr>
        <w:ind w:left="84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 xml:space="preserve">Scheme-1: RS is the QCL RS of current TCI state </w:t>
      </w:r>
    </w:p>
    <w:p>
      <w:pPr>
        <w:numPr>
          <w:ilvl w:val="1"/>
          <w:numId w:val="9"/>
        </w:numPr>
        <w:ind w:left="84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Scheme-2: RS is the SSB which is QCLed with the QCL RS of the current TCI state</w:t>
      </w:r>
    </w:p>
    <w:p>
      <w:pPr>
        <w:pStyle w:val="9"/>
        <w:bidi w:val="0"/>
        <w:rPr>
          <w:rFonts w:hint="default"/>
          <w:lang w:val="en-US" w:eastAsia="zh-CN"/>
        </w:rPr>
      </w:pPr>
      <w:r>
        <w:rPr>
          <w:rFonts w:hint="eastAsia"/>
          <w:lang w:val="en-US" w:eastAsia="zh-CN"/>
        </w:rPr>
        <w:t>Around the candidates of current beam and new beam, RAN1 has multiple discussion, and we still need to wait for the final decision.</w:t>
      </w:r>
    </w:p>
    <w:p>
      <w:pPr>
        <w:pStyle w:val="9"/>
        <w:bidi w:val="0"/>
        <w:rPr>
          <w:rFonts w:hint="eastAsia"/>
          <w:b/>
          <w:bCs/>
          <w:lang w:val="en-US" w:eastAsia="zh-CN"/>
        </w:rPr>
      </w:pPr>
      <w:r>
        <w:rPr>
          <w:rFonts w:hint="eastAsia"/>
          <w:b/>
          <w:bCs/>
          <w:lang w:val="en-US" w:eastAsia="zh-CN"/>
        </w:rPr>
        <w:t>Observation 3: The framework of report contains N+1 beams, in which 1 means the current beam, and N means multiple new beams, i.e. the potential target beams. The exact candidates of the current beam and new beam are still in RAN1 discussion.</w:t>
      </w:r>
    </w:p>
    <w:p>
      <w:pPr>
        <w:pStyle w:val="9"/>
        <w:bidi w:val="0"/>
        <w:rPr>
          <w:rFonts w:hint="eastAsia" w:eastAsia="宋体"/>
          <w:lang w:val="en-US" w:eastAsia="zh-CN"/>
        </w:rPr>
      </w:pPr>
      <w:r>
        <w:rPr>
          <w:rFonts w:hint="eastAsia" w:eastAsia="宋体"/>
          <w:lang w:val="en-US" w:eastAsia="zh-CN"/>
        </w:rPr>
        <w:t xml:space="preserve">From RAN4 perspective, we need to decide the corresponding requirements of such L1-RSRP measurement and the accuracy. </w:t>
      </w:r>
    </w:p>
    <w:p>
      <w:pPr>
        <w:pStyle w:val="9"/>
        <w:bidi w:val="0"/>
        <w:rPr>
          <w:rFonts w:hint="eastAsia"/>
          <w:b/>
          <w:u w:val="single"/>
          <w:lang w:val="en-US" w:eastAsia="ko-KR"/>
        </w:rPr>
      </w:pPr>
      <w:r>
        <w:rPr>
          <w:rFonts w:hint="eastAsia"/>
          <w:b/>
          <w:u w:val="single"/>
          <w:lang w:val="en-US" w:eastAsia="ko-KR"/>
        </w:rPr>
        <w:t>Trigger-event detection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rPr>
                <w:rFonts w:hint="default" w:eastAsia="宋体"/>
                <w:lang w:val="en-US" w:eastAsia="zh-CN"/>
              </w:rPr>
            </w:pPr>
            <w:r>
              <w:rPr>
                <w:rFonts w:hint="eastAsia"/>
                <w:lang w:val="en-US" w:eastAsia="zh-CN"/>
              </w:rPr>
              <w:t>RAN1#116 meeting:</w:t>
            </w:r>
          </w:p>
          <w:p>
            <w:pPr>
              <w:numPr>
                <w:ilvl w:val="0"/>
                <w:numId w:val="0"/>
              </w:numPr>
            </w:pPr>
            <w:r>
              <w:drawing>
                <wp:inline distT="0" distB="0" distL="114300" distR="114300">
                  <wp:extent cx="5321935" cy="1142365"/>
                  <wp:effectExtent l="0" t="0" r="12065" b="63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5321935" cy="1142365"/>
                          </a:xfrm>
                          <a:prstGeom prst="rect">
                            <a:avLst/>
                          </a:prstGeom>
                          <a:noFill/>
                          <a:ln>
                            <a:noFill/>
                          </a:ln>
                        </pic:spPr>
                      </pic:pic>
                    </a:graphicData>
                  </a:graphic>
                </wp:inline>
              </w:drawing>
            </w:r>
          </w:p>
          <w:p>
            <w:pPr>
              <w:numPr>
                <w:ilvl w:val="0"/>
                <w:numId w:val="0"/>
              </w:numPr>
              <w:rPr>
                <w:rFonts w:hint="default" w:eastAsia="宋体"/>
                <w:lang w:val="en-US" w:eastAsia="zh-CN"/>
              </w:rPr>
            </w:pPr>
            <w:r>
              <w:rPr>
                <w:rFonts w:hint="eastAsia"/>
                <w:lang w:val="en-US" w:eastAsia="zh-CN"/>
              </w:rPr>
              <w:t>RAN1#116 bis meeting:</w:t>
            </w:r>
          </w:p>
          <w:p>
            <w:pPr>
              <w:numPr>
                <w:ilvl w:val="0"/>
                <w:numId w:val="0"/>
              </w:numPr>
            </w:pPr>
            <w:r>
              <w:drawing>
                <wp:inline distT="0" distB="0" distL="114300" distR="114300">
                  <wp:extent cx="5565140" cy="1417320"/>
                  <wp:effectExtent l="0" t="0" r="12700"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9"/>
                          <a:stretch>
                            <a:fillRect/>
                          </a:stretch>
                        </pic:blipFill>
                        <pic:spPr>
                          <a:xfrm>
                            <a:off x="0" y="0"/>
                            <a:ext cx="5565140" cy="1417320"/>
                          </a:xfrm>
                          <a:prstGeom prst="rect">
                            <a:avLst/>
                          </a:prstGeom>
                          <a:noFill/>
                          <a:ln>
                            <a:noFill/>
                          </a:ln>
                        </pic:spPr>
                      </pic:pic>
                    </a:graphicData>
                  </a:graphic>
                </wp:inline>
              </w:drawing>
            </w:r>
          </w:p>
          <w:p>
            <w:pPr>
              <w:numPr>
                <w:ilvl w:val="0"/>
                <w:numId w:val="0"/>
              </w:numPr>
            </w:pPr>
            <w:r>
              <w:drawing>
                <wp:inline distT="0" distB="0" distL="114300" distR="114300">
                  <wp:extent cx="5586095" cy="1130935"/>
                  <wp:effectExtent l="0" t="0" r="6985" b="1206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2"/>
                          <a:stretch>
                            <a:fillRect/>
                          </a:stretch>
                        </pic:blipFill>
                        <pic:spPr>
                          <a:xfrm>
                            <a:off x="0" y="0"/>
                            <a:ext cx="5586095" cy="1130935"/>
                          </a:xfrm>
                          <a:prstGeom prst="rect">
                            <a:avLst/>
                          </a:prstGeom>
                          <a:noFill/>
                          <a:ln>
                            <a:noFill/>
                          </a:ln>
                        </pic:spPr>
                      </pic:pic>
                    </a:graphicData>
                  </a:graphic>
                </wp:inline>
              </w:drawing>
            </w:r>
          </w:p>
          <w:p>
            <w:pPr>
              <w:numPr>
                <w:ilvl w:val="0"/>
                <w:numId w:val="0"/>
              </w:numPr>
            </w:pPr>
            <w:r>
              <w:rPr>
                <w:rFonts w:hint="eastAsia"/>
                <w:lang w:val="en-US" w:eastAsia="zh-CN"/>
              </w:rPr>
              <w:t>RAN1#117 meeting:</w:t>
            </w:r>
          </w:p>
          <w:p>
            <w:pPr>
              <w:numPr>
                <w:ilvl w:val="0"/>
                <w:numId w:val="0"/>
              </w:numPr>
              <w:rPr>
                <w:rFonts w:hint="default"/>
                <w:lang w:val="en-US" w:eastAsia="zh-CN"/>
              </w:rPr>
            </w:pPr>
            <w:r>
              <w:drawing>
                <wp:inline distT="0" distB="0" distL="114300" distR="114300">
                  <wp:extent cx="5473065" cy="1709420"/>
                  <wp:effectExtent l="0" t="0" r="13335" b="12700"/>
                  <wp:docPr id="7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36"/>
                          <pic:cNvPicPr>
                            <a:picLocks noChangeAspect="1"/>
                          </pic:cNvPicPr>
                        </pic:nvPicPr>
                        <pic:blipFill>
                          <a:blip r:embed="rId20"/>
                          <a:stretch>
                            <a:fillRect/>
                          </a:stretch>
                        </pic:blipFill>
                        <pic:spPr>
                          <a:xfrm>
                            <a:off x="0" y="0"/>
                            <a:ext cx="5473065" cy="1709420"/>
                          </a:xfrm>
                          <a:prstGeom prst="rect">
                            <a:avLst/>
                          </a:prstGeom>
                          <a:noFill/>
                          <a:ln>
                            <a:noFill/>
                          </a:ln>
                        </pic:spPr>
                      </pic:pic>
                    </a:graphicData>
                  </a:graphic>
                </wp:inline>
              </w:drawing>
            </w:r>
          </w:p>
        </w:tc>
      </w:tr>
    </w:tbl>
    <w:p>
      <w:pPr>
        <w:pStyle w:val="9"/>
        <w:bidi w:val="0"/>
        <w:rPr>
          <w:rFonts w:hint="eastAsia"/>
          <w:lang w:val="en-US" w:eastAsia="zh-CN"/>
        </w:rPr>
      </w:pPr>
      <w:r>
        <w:rPr>
          <w:rFonts w:hint="eastAsia"/>
          <w:lang w:val="en-US" w:eastAsia="zh-CN"/>
        </w:rPr>
        <w:t>According to the RAN1 progress, it can be shown that the metric of the UE-initiated BM is the L1-RSRP. Furthermore, RAN1 has decided the details of the trigger event as below:</w:t>
      </w:r>
    </w:p>
    <w:p>
      <w:pPr>
        <w:numPr>
          <w:ilvl w:val="0"/>
          <w:numId w:val="10"/>
        </w:numPr>
        <w:ind w:left="420" w:leftChars="0" w:hanging="420" w:firstLineChars="0"/>
        <w:rPr>
          <w:rFonts w:hint="default" w:ascii="Arial" w:hAnsi="Arial" w:eastAsia="MS Mincho" w:cs="Times New Roman"/>
          <w:szCs w:val="24"/>
          <w:lang w:val="en-US" w:eastAsia="zh-CN" w:bidi="ar-SA"/>
        </w:rPr>
      </w:pPr>
      <w:r>
        <w:rPr>
          <w:rFonts w:hint="eastAsia" w:eastAsia="MS Mincho" w:cs="Times New Roman"/>
          <w:szCs w:val="24"/>
          <w:lang w:val="en-US" w:eastAsia="zh-CN" w:bidi="ar-SA"/>
        </w:rPr>
        <w:t>At least take Event-2 as the trigger event</w:t>
      </w:r>
    </w:p>
    <w:p>
      <w:pPr>
        <w:numPr>
          <w:ilvl w:val="0"/>
          <w:numId w:val="10"/>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Event-2 instance: The L1-RSRP of the new beam becomes a threshold value better than the current beam</w:t>
      </w:r>
    </w:p>
    <w:p>
      <w:pPr>
        <w:numPr>
          <w:ilvl w:val="0"/>
          <w:numId w:val="10"/>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NW configures timer + counter</w:t>
      </w:r>
      <w:r>
        <w:rPr>
          <w:rFonts w:hint="eastAsia" w:eastAsia="MS Mincho" w:cs="Times New Roman"/>
          <w:szCs w:val="24"/>
          <w:lang w:val="en-US" w:eastAsia="zh-CN" w:bidi="ar-SA"/>
        </w:rPr>
        <w:t xml:space="preserve"> M</w:t>
      </w:r>
    </w:p>
    <w:p>
      <w:pPr>
        <w:numPr>
          <w:ilvl w:val="0"/>
          <w:numId w:val="10"/>
        </w:numPr>
        <w:ind w:left="420" w:leftChars="0" w:hanging="420" w:firstLineChars="0"/>
        <w:rPr>
          <w:rFonts w:hint="default" w:ascii="Arial" w:hAnsi="Arial" w:eastAsia="MS Mincho" w:cs="Times New Roman"/>
          <w:szCs w:val="24"/>
          <w:lang w:val="en-US" w:eastAsia="zh-CN" w:bidi="ar-SA"/>
        </w:rPr>
      </w:pPr>
      <w:r>
        <w:rPr>
          <w:rFonts w:hint="eastAsia" w:ascii="Arial" w:hAnsi="Arial" w:eastAsia="MS Mincho" w:cs="Times New Roman"/>
          <w:szCs w:val="24"/>
          <w:lang w:val="en-US" w:eastAsia="zh-CN" w:bidi="ar-SA"/>
        </w:rPr>
        <w:t>Within the timer, the number of Event-2 instant is greater than or equal to the counter</w:t>
      </w:r>
      <w:r>
        <w:rPr>
          <w:rFonts w:hint="eastAsia" w:eastAsia="MS Mincho" w:cs="Times New Roman"/>
          <w:szCs w:val="24"/>
          <w:lang w:val="en-US" w:eastAsia="zh-CN" w:bidi="ar-SA"/>
        </w:rPr>
        <w:t xml:space="preserve"> M</w:t>
      </w:r>
    </w:p>
    <w:p>
      <w:pPr>
        <w:numPr>
          <w:ilvl w:val="0"/>
          <w:numId w:val="10"/>
        </w:numPr>
        <w:ind w:left="420" w:leftChars="0" w:hanging="420" w:firstLineChars="0"/>
        <w:rPr>
          <w:rFonts w:hint="default" w:ascii="Arial" w:hAnsi="Arial" w:eastAsia="MS Mincho" w:cs="Times New Roman"/>
          <w:szCs w:val="24"/>
          <w:lang w:val="en-US" w:eastAsia="zh-CN" w:bidi="ar-SA"/>
        </w:rPr>
      </w:pPr>
      <w:r>
        <w:rPr>
          <w:rFonts w:hint="eastAsia" w:eastAsia="MS Mincho" w:cs="Times New Roman"/>
          <w:szCs w:val="24"/>
          <w:lang w:val="en-US" w:eastAsia="zh-CN" w:bidi="ar-SA"/>
        </w:rPr>
        <w:t>Whether support such trigger event, d</w:t>
      </w:r>
      <w:r>
        <w:rPr>
          <w:rFonts w:hint="eastAsia" w:ascii="Arial" w:hAnsi="Arial" w:eastAsia="MS Mincho" w:cs="Times New Roman"/>
          <w:szCs w:val="24"/>
          <w:lang w:val="en-US" w:eastAsia="zh-CN" w:bidi="ar-SA"/>
        </w:rPr>
        <w:t>epend on UE capability</w:t>
      </w:r>
    </w:p>
    <w:p>
      <w:pPr>
        <w:pStyle w:val="9"/>
        <w:bidi w:val="0"/>
        <w:rPr>
          <w:rFonts w:hint="default" w:eastAsia="宋体"/>
          <w:lang w:val="en-US" w:eastAsia="zh-CN"/>
        </w:rPr>
      </w:pPr>
      <w:r>
        <w:rPr>
          <w:rFonts w:hint="eastAsia"/>
          <w:b/>
          <w:bCs/>
          <w:lang w:val="en-US" w:eastAsia="zh-CN"/>
        </w:rPr>
        <w:t>Observation 4: A new type of trigger event based on L1-RSRP measurement is identified by RAN1, such trigger event introduce a timer and counter.</w:t>
      </w:r>
    </w:p>
    <w:p>
      <w:pPr>
        <w:pStyle w:val="9"/>
        <w:bidi w:val="0"/>
        <w:rPr>
          <w:rFonts w:hint="default" w:eastAsia="宋体"/>
          <w:lang w:val="en-US" w:eastAsia="zh-CN"/>
        </w:rPr>
      </w:pPr>
      <w:r>
        <w:rPr>
          <w:rFonts w:hint="eastAsia"/>
          <w:lang w:val="en-US" w:eastAsia="zh-CN"/>
        </w:rPr>
        <w:t xml:space="preserve">Based on the design of such new type of trigger event, when RAN4 discuss the accuracy requirements of L1-RSRP, such design should be considered. </w:t>
      </w:r>
    </w:p>
    <w:p>
      <w:pPr>
        <w:pStyle w:val="4"/>
        <w:bidi w:val="0"/>
        <w:rPr>
          <w:rFonts w:hint="default" w:ascii="Arial" w:hAnsi="Arial" w:eastAsia="MS Mincho" w:cs="Arial"/>
          <w:b/>
          <w:bCs/>
          <w:iCs/>
          <w:kern w:val="32"/>
          <w:sz w:val="24"/>
          <w:szCs w:val="24"/>
          <w:lang w:val="en-US" w:eastAsia="zh-CN" w:bidi="ar-SA"/>
        </w:rPr>
      </w:pPr>
      <w:r>
        <w:rPr>
          <w:rFonts w:hint="default" w:ascii="Arial" w:hAnsi="Arial" w:eastAsia="MS Mincho" w:cs="Arial"/>
          <w:b/>
          <w:bCs/>
          <w:iCs/>
          <w:kern w:val="32"/>
          <w:sz w:val="24"/>
          <w:szCs w:val="24"/>
          <w:lang w:val="en-US" w:eastAsia="zh-CN" w:bidi="ar-SA"/>
        </w:rPr>
        <w:t>2.</w:t>
      </w:r>
      <w:r>
        <w:rPr>
          <w:rFonts w:hint="eastAsia" w:ascii="Arial" w:hAnsi="Arial" w:eastAsia="MS Mincho" w:cs="Arial"/>
          <w:b/>
          <w:bCs/>
          <w:iCs/>
          <w:kern w:val="32"/>
          <w:sz w:val="24"/>
          <w:szCs w:val="24"/>
          <w:lang w:val="en-US" w:eastAsia="zh-CN" w:bidi="ar-SA"/>
        </w:rPr>
        <w:t>1.</w:t>
      </w:r>
      <w:r>
        <w:rPr>
          <w:rFonts w:hint="eastAsia" w:eastAsia="MS Mincho" w:cs="Arial"/>
          <w:b/>
          <w:bCs/>
          <w:iCs/>
          <w:kern w:val="32"/>
          <w:sz w:val="24"/>
          <w:szCs w:val="24"/>
          <w:lang w:val="en-US" w:eastAsia="zh-CN" w:bidi="ar-SA"/>
        </w:rPr>
        <w:t>2</w:t>
      </w:r>
      <w:r>
        <w:rPr>
          <w:rFonts w:hint="default" w:ascii="Arial" w:hAnsi="Arial" w:eastAsia="MS Mincho" w:cs="Arial"/>
          <w:b/>
          <w:bCs/>
          <w:iCs/>
          <w:kern w:val="32"/>
          <w:sz w:val="24"/>
          <w:szCs w:val="24"/>
          <w:lang w:val="en-US" w:eastAsia="zh-CN" w:bidi="ar-SA"/>
        </w:rPr>
        <w:t xml:space="preserve"> </w:t>
      </w:r>
      <w:r>
        <w:rPr>
          <w:rFonts w:hint="eastAsia" w:eastAsia="MS Mincho" w:cs="Arial"/>
          <w:b/>
          <w:bCs/>
          <w:iCs/>
          <w:kern w:val="32"/>
          <w:sz w:val="24"/>
          <w:szCs w:val="24"/>
          <w:lang w:val="en-US" w:eastAsia="zh-CN" w:bidi="ar-SA"/>
        </w:rPr>
        <w:t>RAN4 RRM aspects analysis</w:t>
      </w:r>
    </w:p>
    <w:p>
      <w:pPr>
        <w:pStyle w:val="9"/>
        <w:bidi w:val="0"/>
        <w:rPr>
          <w:rFonts w:hint="eastAsia"/>
          <w:lang w:val="en-US" w:eastAsia="zh-CN"/>
        </w:rPr>
      </w:pPr>
      <w:r>
        <w:rPr>
          <w:rFonts w:hint="eastAsia" w:eastAsia="宋体"/>
          <w:bCs/>
          <w:color w:val="auto"/>
          <w:sz w:val="20"/>
          <w:szCs w:val="20"/>
          <w:lang w:val="en-US" w:eastAsia="zh-CN"/>
        </w:rPr>
        <w:t>As our analysis above, the motivation of this R19 objective is to reduce the latency and overhead of intra-cell and inter-cell beam management. Changing the NW driven mechanism to UE-initiated mechanism. Furthermore, leverage the unified TCI state framework as much as possible. Regarding the beam management, actually both Tx beam tracking and Rx beam refinement are included. Therefore, when we consider the enhancement, both enhanced Tx beam tracking and Rx beam refinement can be considered.</w:t>
      </w:r>
    </w:p>
    <w:p>
      <w:pPr>
        <w:pStyle w:val="9"/>
        <w:bidi w:val="0"/>
        <w:rPr>
          <w:rFonts w:hint="default"/>
          <w:b/>
          <w:bCs/>
          <w:lang w:val="en-US" w:eastAsia="zh-CN"/>
        </w:rPr>
      </w:pPr>
      <w:r>
        <w:rPr>
          <w:rFonts w:hint="eastAsia"/>
          <w:b/>
          <w:bCs/>
          <w:lang w:val="en-US" w:eastAsia="zh-CN"/>
        </w:rPr>
        <w:t>Proposal 1: To reduce the latency and overhead of intra-cell and inter-cell BM, both enhanced Tx beam tracking and Rx beam refinement can be considered.</w:t>
      </w:r>
    </w:p>
    <w:p>
      <w:pPr>
        <w:pStyle w:val="9"/>
        <w:bidi w:val="0"/>
        <w:rPr>
          <w:rFonts w:hint="eastAsia" w:eastAsia="宋体"/>
          <w:bCs/>
          <w:color w:val="auto"/>
          <w:sz w:val="20"/>
          <w:szCs w:val="20"/>
          <w:lang w:val="en-US" w:eastAsia="zh-CN"/>
        </w:rPr>
      </w:pPr>
      <w:r>
        <w:rPr>
          <w:rFonts w:hint="eastAsia" w:eastAsia="宋体"/>
          <w:bCs/>
          <w:color w:val="auto"/>
          <w:sz w:val="20"/>
          <w:szCs w:val="20"/>
          <w:lang w:val="en-US" w:eastAsia="zh-CN"/>
        </w:rPr>
        <w:t xml:space="preserve">In current spec, both P2 Tx and P3 Rx beam refinements are supported in gNB-initiated beam management procedures where the former uses Tx beam sweeping to achieve Tx beam refinement and the latter uses Rx beam sweeping to achieve Rx beam refinement. </w:t>
      </w:r>
    </w:p>
    <w:p>
      <w:pPr>
        <w:pStyle w:val="9"/>
        <w:bidi w:val="0"/>
        <w:rPr>
          <w:rFonts w:hint="eastAsia"/>
          <w:lang w:val="en-US" w:eastAsia="zh-CN"/>
        </w:rPr>
      </w:pPr>
      <w:r>
        <w:rPr>
          <w:rFonts w:hint="eastAsia" w:eastAsia="宋体"/>
          <w:bCs/>
          <w:color w:val="auto"/>
          <w:sz w:val="20"/>
          <w:szCs w:val="20"/>
          <w:lang w:val="en-US" w:eastAsia="zh-CN"/>
        </w:rPr>
        <w:t xml:space="preserve">To support the faster Tx beam tracking and Rx beam refinement, one direct solution is </w:t>
      </w:r>
      <w:r>
        <w:rPr>
          <w:rFonts w:hint="eastAsia"/>
          <w:lang w:val="en-US" w:eastAsia="zh-CN"/>
        </w:rPr>
        <w:t xml:space="preserve">to configure multiple sets of RS resource set, and each corresponding a report configuration respectively. Different RS resource set covers different beam area. UE measures with coarse Rx beam and reports the best beam area when the L1-RSRP meets the trigger event. After reporting such reporting, UE does no need to measure other RS resource set with respect to other beam area. Which can facilitate fast BM. Within the detected target beam area, UE can further perform fine Rx beam measurement to refine the best fine beam, which can be used in the subsequent data transmission. During the whole procedure, the additional RS reconfiguration latency can be saved. Furthermore, via the combination of coarse Rx beam and fine Rx beam, the beam measurement is more efficient. </w:t>
      </w:r>
    </w:p>
    <w:p>
      <w:pPr>
        <w:pStyle w:val="9"/>
        <w:bidi w:val="0"/>
        <w:rPr>
          <w:rFonts w:hint="eastAsia"/>
          <w:lang w:val="en-US" w:eastAsia="zh-CN"/>
        </w:rPr>
      </w:pPr>
      <w:r>
        <w:rPr>
          <w:rFonts w:hint="eastAsia"/>
          <w:lang w:val="en-US" w:eastAsia="zh-CN"/>
        </w:rPr>
        <w:t>In legacy, the Rx beam sweeping factor for L1-RSRP measurement is assumed as N = 8 and with the hypothesis of fine beam sweeping. To achieve the above more efficient beam measurement, the two assumptions including N = 8 and fine beam sweeping could be enhanced, that is, reduced N and coarse beam assumption is allowed. Actually in multiple R18 WIDs, such as multi-Rx and SCell activation enhancement, smaller N has already supported.</w:t>
      </w:r>
    </w:p>
    <w:p>
      <w:pPr>
        <w:pStyle w:val="9"/>
        <w:bidi w:val="0"/>
        <w:rPr>
          <w:rFonts w:hint="default"/>
          <w:b/>
          <w:bCs/>
          <w:lang w:val="en-US" w:eastAsia="zh-CN"/>
        </w:rPr>
      </w:pPr>
      <w:r>
        <w:rPr>
          <w:rFonts w:hint="eastAsia"/>
          <w:b/>
          <w:bCs/>
          <w:lang w:val="en-US" w:eastAsia="zh-CN"/>
        </w:rPr>
        <w:t>Proposal 2: The assumption of N = 8 fine beam sweeping can be enhanced to realize more efficient BM. For example the combination of coarse Rx beam and fine Rx beam would facilitate faster Tx and Rx beam refinement.</w:t>
      </w:r>
    </w:p>
    <w:p>
      <w:pPr>
        <w:pStyle w:val="9"/>
        <w:bidi w:val="0"/>
        <w:rPr>
          <w:rFonts w:hint="eastAsia"/>
          <w:lang w:val="en-US" w:eastAsia="zh-CN"/>
        </w:rPr>
      </w:pPr>
      <w:r>
        <w:rPr>
          <w:rFonts w:hint="eastAsia"/>
          <w:lang w:val="en-US" w:eastAsia="zh-CN"/>
        </w:rPr>
        <w:t>To support inter-cell BM, in R17 MIMO, RAN4 has already discussed on multiple issues and achieved good progress, including the UE behaviors for L1-RSRP measurement on NSC, the inter-cell L1-RSRP measurement requirements, time offset assumption, scheduling/measurement restriction caused by L1-RSRP measurement on NSC and accuracy requirements. From our perspective, for the issues regardless of NW driven or UE-initiated, it is better to leverage the R17 ICBM conclusions as much as possible.</w:t>
      </w:r>
    </w:p>
    <w:p>
      <w:pPr>
        <w:pStyle w:val="9"/>
        <w:bidi w:val="0"/>
        <w:rPr>
          <w:rFonts w:hint="default"/>
          <w:b/>
          <w:bCs/>
          <w:lang w:val="en-US" w:eastAsia="zh-CN"/>
        </w:rPr>
      </w:pPr>
      <w:r>
        <w:rPr>
          <w:rFonts w:hint="eastAsia"/>
          <w:b/>
          <w:bCs/>
          <w:lang w:val="en-US" w:eastAsia="zh-CN"/>
        </w:rPr>
        <w:t>Proposal 3: To support inter-cell BM, for the issues regardless of NW driven or UE-initiated, it is better to leverage the R17 ICBM conclusions/requirements as much as possible.</w:t>
      </w:r>
    </w:p>
    <w:p>
      <w:pPr>
        <w:pStyle w:val="9"/>
        <w:bidi w:val="0"/>
        <w:rPr>
          <w:rFonts w:hint="eastAsia"/>
          <w:lang w:val="en-US" w:eastAsia="zh-CN"/>
        </w:rPr>
      </w:pPr>
      <w:r>
        <w:rPr>
          <w:rFonts w:hint="eastAsia"/>
          <w:lang w:val="en-US" w:eastAsia="zh-CN"/>
        </w:rPr>
        <w:t>Since new type of trigger event and corresponding report format was introduced, so one essential point is to decide the accuracy requirements for such new report. It should be noted that during such UE-initiated BM, the reported target beam is largely probably lead to beam switching, which is different from legacy NW driven BM. In the NW driven BM, the NW can predict the UE reporting and in fact multiple reporting would not lead to beam switching especially under the configuration of periodic report. While the case is different for UE-initiated BM, NW is unaware of whether and when the UE would report. So if the reporting is missing or the reported quantity is not accurate, the UE would miss the chance to convey the actual event. So to our understanding, the reliability and accuracy of the UE-initiated beam reporting should be guaranteed as much as possible. How to guarantee the reliability, which could be handled by RAN1 mechanism, such as the transmission channel/UCI design. RAN4 is responsible to the accuracy, whether need to tight the accuracy requirement on top of legacy L1-RSRP accuracy or give new requirement, which should be discussed in RAN4.</w:t>
      </w:r>
    </w:p>
    <w:p>
      <w:pPr>
        <w:pStyle w:val="9"/>
        <w:bidi w:val="0"/>
        <w:rPr>
          <w:rFonts w:hint="default"/>
          <w:b/>
          <w:bCs/>
          <w:lang w:val="en-US" w:eastAsia="zh-CN"/>
        </w:rPr>
      </w:pPr>
      <w:r>
        <w:rPr>
          <w:rFonts w:hint="eastAsia"/>
          <w:b/>
          <w:bCs/>
          <w:lang w:val="en-US" w:eastAsia="zh-CN"/>
        </w:rPr>
        <w:t>Observation 5: In the legacy NW driven BM, the NW can predict when the UE would report and in fact multiple reporting would not lead to beam switching especially under periodic reporting configuration. While for UE-initiated BM, NW is unaware of whether and when the UE would report. Such UE-initiated reported target beam is largely probably lead to beam switching.</w:t>
      </w:r>
    </w:p>
    <w:p>
      <w:pPr>
        <w:pStyle w:val="9"/>
        <w:bidi w:val="0"/>
        <w:rPr>
          <w:rFonts w:hint="default"/>
          <w:b/>
          <w:bCs/>
          <w:lang w:val="en-US" w:eastAsia="zh-CN"/>
        </w:rPr>
      </w:pPr>
      <w:r>
        <w:rPr>
          <w:rFonts w:hint="eastAsia"/>
          <w:b/>
          <w:bCs/>
          <w:lang w:val="en-US" w:eastAsia="zh-CN"/>
        </w:rPr>
        <w:t>Proposal 4: Whether need to tight the accuracy requirement on top of legacy L1-RSRP accuracy or design new requirement, which should be discussed in RAN4.</w:t>
      </w:r>
    </w:p>
    <w:p>
      <w:pPr>
        <w:pStyle w:val="9"/>
        <w:bidi w:val="0"/>
        <w:rPr>
          <w:rFonts w:hint="default"/>
          <w:lang w:val="en-US" w:eastAsia="zh-CN"/>
        </w:rPr>
      </w:pP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Arial" w:hAnsi="Arial" w:cs="Arial"/>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2</w:t>
      </w:r>
      <w:r>
        <w:rPr>
          <w:rFonts w:hint="default" w:ascii="Arial" w:hAnsi="Arial" w:cs="Arial"/>
          <w:sz w:val="24"/>
          <w:szCs w:val="24"/>
          <w:lang w:val="en-US" w:eastAsia="zh-CN"/>
        </w:rPr>
        <w:t xml:space="preserve"> </w:t>
      </w:r>
      <w:r>
        <w:rPr>
          <w:rFonts w:hint="eastAsia" w:ascii="Arial" w:hAnsi="Arial" w:cs="Arial"/>
          <w:sz w:val="24"/>
          <w:szCs w:val="24"/>
          <w:lang w:val="en-US" w:eastAsia="zh-CN"/>
        </w:rPr>
        <w:t>The enhancement for asymmetric DL sTRP/UL mTRP deployment scenarios</w:t>
      </w:r>
    </w:p>
    <w:p>
      <w:pPr>
        <w:pStyle w:val="4"/>
        <w:bidi w:val="0"/>
        <w:rPr>
          <w:rFonts w:hint="default" w:eastAsia="MS Mincho" w:cs="Arial"/>
          <w:b/>
          <w:bCs/>
          <w:iCs/>
          <w:kern w:val="32"/>
          <w:sz w:val="24"/>
          <w:szCs w:val="24"/>
          <w:lang w:val="en-US" w:eastAsia="zh-CN" w:bidi="ar-SA"/>
        </w:rPr>
      </w:pPr>
      <w:r>
        <w:rPr>
          <w:rFonts w:hint="default" w:ascii="Arial" w:hAnsi="Arial" w:eastAsia="MS Mincho" w:cs="Arial"/>
          <w:b/>
          <w:bCs/>
          <w:iCs/>
          <w:kern w:val="32"/>
          <w:sz w:val="24"/>
          <w:szCs w:val="24"/>
          <w:lang w:val="en-US" w:eastAsia="zh-CN" w:bidi="ar-SA"/>
        </w:rPr>
        <w:t>2.</w:t>
      </w:r>
      <w:r>
        <w:rPr>
          <w:rFonts w:hint="eastAsia" w:eastAsia="MS Mincho" w:cs="Arial"/>
          <w:b/>
          <w:bCs/>
          <w:iCs/>
          <w:kern w:val="32"/>
          <w:sz w:val="24"/>
          <w:szCs w:val="24"/>
          <w:lang w:val="en-US" w:eastAsia="zh-CN" w:bidi="ar-SA"/>
        </w:rPr>
        <w:t>2</w:t>
      </w:r>
      <w:r>
        <w:rPr>
          <w:rFonts w:hint="eastAsia" w:ascii="Arial" w:hAnsi="Arial" w:eastAsia="MS Mincho" w:cs="Arial"/>
          <w:b/>
          <w:bCs/>
          <w:iCs/>
          <w:kern w:val="32"/>
          <w:sz w:val="24"/>
          <w:szCs w:val="24"/>
          <w:lang w:val="en-US" w:eastAsia="zh-CN" w:bidi="ar-SA"/>
        </w:rPr>
        <w:t>.1</w:t>
      </w:r>
      <w:r>
        <w:rPr>
          <w:rFonts w:hint="default" w:ascii="Arial" w:hAnsi="Arial" w:eastAsia="MS Mincho" w:cs="Arial"/>
          <w:b/>
          <w:bCs/>
          <w:iCs/>
          <w:kern w:val="32"/>
          <w:sz w:val="24"/>
          <w:szCs w:val="24"/>
          <w:lang w:val="en-US" w:eastAsia="zh-CN" w:bidi="ar-SA"/>
        </w:rPr>
        <w:t xml:space="preserve"> </w:t>
      </w:r>
      <w:r>
        <w:rPr>
          <w:rFonts w:hint="eastAsia" w:eastAsia="MS Mincho" w:cs="Arial"/>
          <w:b/>
          <w:bCs/>
          <w:iCs/>
          <w:kern w:val="32"/>
          <w:sz w:val="24"/>
          <w:szCs w:val="24"/>
          <w:lang w:val="en-US" w:eastAsia="zh-CN" w:bidi="ar-SA"/>
        </w:rPr>
        <w:t>Scenario discussion</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To improve UL throughput and power consumption saving, heterogeneous NW can be deployed with macro nodes and micro nodes in non-co-located deployment. Wherein the micro nodes only apply to provide UL load balance. Not any DL transmission happens in the micro link, so that the micro node can turn off the DL Tx to save power consumption. The following picture depicts the scenario as below:</w:t>
      </w:r>
    </w:p>
    <w:p>
      <w:pPr>
        <w:pStyle w:val="62"/>
        <w:spacing w:after="60" w:afterAutospacing="0"/>
        <w:ind w:firstLine="0"/>
        <w:jc w:val="center"/>
        <w:rPr>
          <w:lang w:val="en-US"/>
        </w:rPr>
      </w:pPr>
      <w:r>
        <w:rPr>
          <w:lang w:val="en-US" w:eastAsia="ko-KR"/>
        </w:rPr>
        <w:drawing>
          <wp:inline distT="0" distB="0" distL="0" distR="0">
            <wp:extent cx="2381885" cy="1118235"/>
            <wp:effectExtent l="0" t="0" r="1079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885" cy="1118235"/>
                    </a:xfrm>
                    <a:prstGeom prst="rect">
                      <a:avLst/>
                    </a:prstGeom>
                    <a:noFill/>
                  </pic:spPr>
                </pic:pic>
              </a:graphicData>
            </a:graphic>
          </wp:inline>
        </w:drawing>
      </w:r>
    </w:p>
    <w:p>
      <w:pPr>
        <w:pStyle w:val="62"/>
        <w:keepNext/>
        <w:spacing w:after="60" w:afterAutospacing="0"/>
        <w:ind w:firstLine="0"/>
        <w:jc w:val="center"/>
        <w:rPr>
          <w:lang w:val="en-US" w:eastAsia="ko-KR"/>
        </w:rPr>
      </w:pPr>
      <w:bookmarkStart w:id="3" w:name="_Ref159147075"/>
      <w:r>
        <w:rPr>
          <w:rFonts w:hint="eastAsia"/>
          <w:lang w:val="en-US" w:eastAsia="ko-KR"/>
        </w:rPr>
        <w:t xml:space="preserve">Figure </w:t>
      </w:r>
      <w:r>
        <w:fldChar w:fldCharType="begin"/>
      </w:r>
      <w:r>
        <w:instrText xml:space="preserve"> SEQ Figure \* ARABIC </w:instrText>
      </w:r>
      <w:r>
        <w:fldChar w:fldCharType="separate"/>
      </w:r>
      <w:r>
        <w:t>1</w:t>
      </w:r>
      <w:r>
        <w:fldChar w:fldCharType="end"/>
      </w:r>
      <w:bookmarkEnd w:id="3"/>
      <w:r>
        <w:rPr>
          <w:rFonts w:hint="eastAsia"/>
          <w:lang w:val="en-US" w:eastAsia="ko-KR"/>
        </w:rPr>
        <w:t xml:space="preserve">. Asymmetric </w:t>
      </w:r>
      <w:r>
        <w:rPr>
          <w:lang w:val="en-US" w:eastAsia="ko-KR"/>
        </w:rPr>
        <w:t xml:space="preserve">DL </w:t>
      </w:r>
      <w:r>
        <w:rPr>
          <w:rFonts w:hint="eastAsia"/>
          <w:lang w:val="en-US" w:eastAsia="ko-KR"/>
        </w:rPr>
        <w:t>sTRP/</w:t>
      </w:r>
      <w:r>
        <w:rPr>
          <w:lang w:val="en-US" w:eastAsia="ko-KR"/>
        </w:rPr>
        <w:t>UL mTRP scenario</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So we listed the key point of this scenario:</w:t>
      </w:r>
    </w:p>
    <w:p>
      <w:pPr>
        <w:numPr>
          <w:ilvl w:val="0"/>
          <w:numId w:val="11"/>
        </w:numPr>
        <w:ind w:left="420" w:leftChars="0" w:hanging="420" w:firstLineChars="0"/>
        <w:rPr>
          <w:rFonts w:hint="eastAsia"/>
          <w:lang w:val="en-US" w:eastAsia="zh-CN"/>
        </w:rPr>
      </w:pPr>
      <w:r>
        <w:rPr>
          <w:rFonts w:hint="eastAsia"/>
          <w:lang w:val="en-US" w:eastAsia="zh-CN"/>
        </w:rPr>
        <w:t>Macro + non-co-located micro, they are intra-band intra-DU</w:t>
      </w:r>
    </w:p>
    <w:p>
      <w:pPr>
        <w:numPr>
          <w:ilvl w:val="0"/>
          <w:numId w:val="11"/>
        </w:numPr>
        <w:ind w:left="420" w:leftChars="0" w:hanging="420" w:firstLineChars="0"/>
        <w:rPr>
          <w:rFonts w:hint="eastAsia"/>
          <w:lang w:val="en-US" w:eastAsia="zh-CN"/>
        </w:rPr>
      </w:pPr>
      <w:r>
        <w:rPr>
          <w:rFonts w:hint="eastAsia"/>
          <w:lang w:val="en-US" w:eastAsia="zh-CN"/>
        </w:rPr>
        <w:t>The micro turn off DL Tx, only support UL Rx</w:t>
      </w:r>
    </w:p>
    <w:p>
      <w:pPr>
        <w:numPr>
          <w:ilvl w:val="1"/>
          <w:numId w:val="11"/>
        </w:numPr>
        <w:ind w:left="840" w:leftChars="0" w:hanging="420" w:firstLineChars="0"/>
        <w:rPr>
          <w:rFonts w:hint="eastAsia"/>
          <w:lang w:val="en-US" w:eastAsia="zh-CN"/>
        </w:rPr>
      </w:pPr>
      <w:r>
        <w:rPr>
          <w:rFonts w:hint="eastAsia"/>
          <w:lang w:val="en-US" w:eastAsia="zh-CN"/>
        </w:rPr>
        <w:t>N</w:t>
      </w:r>
      <w:r>
        <w:rPr>
          <w:lang w:val="en-US" w:eastAsia="ko-KR"/>
        </w:rPr>
        <w:t>either DL control information nor DL RS including pathloss RS</w:t>
      </w:r>
    </w:p>
    <w:p>
      <w:pPr>
        <w:numPr>
          <w:ilvl w:val="1"/>
          <w:numId w:val="11"/>
        </w:numPr>
        <w:ind w:left="840" w:leftChars="0" w:hanging="420" w:firstLineChars="0"/>
        <w:rPr>
          <w:rFonts w:hint="eastAsia"/>
          <w:lang w:val="en-US" w:eastAsia="zh-CN"/>
        </w:rPr>
      </w:pPr>
      <w:r>
        <w:rPr>
          <w:rFonts w:hint="eastAsia"/>
          <w:lang w:val="en-US" w:eastAsia="zh-CN"/>
        </w:rPr>
        <w:t>Single DCI or multi DCI</w:t>
      </w:r>
    </w:p>
    <w:p>
      <w:pPr>
        <w:numPr>
          <w:ilvl w:val="2"/>
          <w:numId w:val="11"/>
        </w:numPr>
        <w:ind w:left="1260" w:leftChars="0" w:hanging="420" w:firstLineChars="0"/>
        <w:rPr>
          <w:highlight w:val="none"/>
          <w:lang w:val="en-US" w:eastAsia="ko-KR"/>
        </w:rPr>
      </w:pPr>
      <w:r>
        <w:rPr>
          <w:lang w:val="en-US" w:eastAsia="ko-KR"/>
        </w:rPr>
        <w:t>Single-DCI based multi-TRP: a certain TRP can fully control and provide scheduling information for both TRPs via a single DCI, assuming ideal backhaul meaning that it is possible t</w:t>
      </w:r>
      <w:r>
        <w:rPr>
          <w:highlight w:val="none"/>
          <w:lang w:val="en-US" w:eastAsia="ko-KR"/>
        </w:rPr>
        <w:t>o have tight coordination within a low latency between two TRPs.</w:t>
      </w:r>
    </w:p>
    <w:p>
      <w:pPr>
        <w:numPr>
          <w:ilvl w:val="2"/>
          <w:numId w:val="11"/>
        </w:numPr>
        <w:ind w:left="1260" w:leftChars="0" w:hanging="420" w:firstLineChars="0"/>
        <w:rPr>
          <w:highlight w:val="none"/>
          <w:lang w:val="en-US" w:eastAsia="ko-KR"/>
        </w:rPr>
      </w:pPr>
      <w:r>
        <w:rPr>
          <w:rFonts w:hint="eastAsia"/>
          <w:highlight w:val="none"/>
          <w:lang w:val="en-US" w:eastAsia="ko-KR"/>
        </w:rPr>
        <w:t>Multi-DCI based multi-TRP</w:t>
      </w:r>
      <w:r>
        <w:rPr>
          <w:highlight w:val="none"/>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pPr>
        <w:numPr>
          <w:ilvl w:val="1"/>
          <w:numId w:val="11"/>
        </w:numPr>
        <w:ind w:left="840" w:leftChars="0" w:hanging="420" w:firstLineChars="0"/>
        <w:rPr>
          <w:rFonts w:hint="default"/>
          <w:b w:val="0"/>
          <w:bCs w:val="0"/>
          <w:u w:val="none"/>
          <w:lang w:val="en-US" w:eastAsia="zh-CN"/>
        </w:rPr>
      </w:pPr>
      <w:r>
        <w:rPr>
          <w:rFonts w:hint="eastAsia"/>
          <w:lang w:val="en-US" w:eastAsia="zh-CN"/>
        </w:rPr>
        <w:t>Consider both FR 1 and FR 2</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 xml:space="preserve">In R18 MIMO, sDCI based and mDCI based mTRP scenario have been supported. Especially for mDCI, two TA based UL transmission is introduced for the capable UE. While for sDCI case, two TA based UL transmission is not supported due to a lack of time and scope management. To support two TA mechanism, the association of TAG id with CORESET Pool id would be configured to UE.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One important difference between R18 MIMO and R19 MIMO lies on the number of CORESET Pool. Since only the macro node send DL transmission, so it is nature that only one CORESET Pool is needed in this R19 asymmetric mTRP scenario. So can we believe only sDCI is allowed in this scenario, which should be clarified.</w:t>
      </w:r>
    </w:p>
    <w:p>
      <w:pPr>
        <w:pStyle w:val="9"/>
        <w:bidi w:val="0"/>
        <w:rPr>
          <w:rFonts w:hint="eastAsia"/>
          <w:b/>
          <w:bCs/>
          <w:lang w:val="en-US" w:eastAsia="zh-CN"/>
        </w:rPr>
      </w:pPr>
      <w:r>
        <w:rPr>
          <w:rFonts w:hint="eastAsia"/>
          <w:b/>
          <w:bCs/>
          <w:lang w:val="en-US" w:eastAsia="zh-CN"/>
        </w:rPr>
        <w:t>Observation 6: In R18 MIMO, sDCI based and mDCI based mTRP scenario have been supported. Especially for mDCI, two TA based UL transmission is introduced for the capable UE. While two TA based UL transmission is not supported for sDCI due to a lack of time and scope management.</w:t>
      </w:r>
    </w:p>
    <w:p>
      <w:pPr>
        <w:pStyle w:val="9"/>
        <w:bidi w:val="0"/>
        <w:rPr>
          <w:rFonts w:hint="eastAsia"/>
          <w:b/>
          <w:bCs/>
          <w:lang w:val="en-US" w:eastAsia="zh-CN"/>
        </w:rPr>
      </w:pPr>
      <w:r>
        <w:rPr>
          <w:rFonts w:hint="eastAsia"/>
          <w:b/>
          <w:bCs/>
          <w:lang w:val="en-US" w:eastAsia="zh-CN"/>
        </w:rPr>
        <w:t>Observation 7: One important difference between R18 MIMO and R19 MIMO lies on the number of CORESET Pool. Since only the macro node send DL transmission, so it is nature that only one CORESET Pool exists.</w:t>
      </w:r>
    </w:p>
    <w:p>
      <w:pPr>
        <w:pStyle w:val="9"/>
        <w:bidi w:val="0"/>
        <w:rPr>
          <w:rFonts w:hint="eastAsia"/>
          <w:b w:val="0"/>
          <w:bCs w:val="0"/>
          <w:u w:val="none"/>
          <w:lang w:val="en-US" w:eastAsia="zh-CN"/>
        </w:rPr>
      </w:pPr>
      <w:r>
        <w:rPr>
          <w:rFonts w:hint="eastAsia"/>
          <w:b/>
          <w:bCs/>
          <w:lang w:val="en-US" w:eastAsia="zh-CN"/>
        </w:rPr>
        <w:t>Proposal 5: It should be clarified only sDCI case allowed in R19 asymmetric mTRP scenario.</w:t>
      </w:r>
    </w:p>
    <w:p>
      <w:pPr>
        <w:pStyle w:val="4"/>
        <w:bidi w:val="0"/>
        <w:rPr>
          <w:rFonts w:hint="eastAsia" w:ascii="Arial" w:hAnsi="Arial" w:eastAsia="MS Mincho" w:cs="Arial"/>
          <w:b/>
          <w:bCs/>
          <w:iCs/>
          <w:kern w:val="32"/>
          <w:sz w:val="24"/>
          <w:szCs w:val="24"/>
          <w:lang w:val="en-US" w:eastAsia="zh-CN" w:bidi="ar-SA"/>
        </w:rPr>
      </w:pPr>
      <w:r>
        <w:rPr>
          <w:rFonts w:hint="default" w:ascii="Arial" w:hAnsi="Arial" w:eastAsia="MS Mincho" w:cs="Arial"/>
          <w:b/>
          <w:bCs/>
          <w:iCs/>
          <w:kern w:val="32"/>
          <w:sz w:val="24"/>
          <w:szCs w:val="24"/>
          <w:lang w:val="en-US" w:eastAsia="zh-CN" w:bidi="ar-SA"/>
        </w:rPr>
        <w:t>2.</w:t>
      </w:r>
      <w:r>
        <w:rPr>
          <w:rFonts w:hint="eastAsia" w:eastAsia="MS Mincho" w:cs="Arial"/>
          <w:b/>
          <w:bCs/>
          <w:iCs/>
          <w:kern w:val="32"/>
          <w:sz w:val="24"/>
          <w:szCs w:val="24"/>
          <w:lang w:val="en-US" w:eastAsia="zh-CN" w:bidi="ar-SA"/>
        </w:rPr>
        <w:t>2</w:t>
      </w:r>
      <w:r>
        <w:rPr>
          <w:rFonts w:hint="eastAsia" w:ascii="Arial" w:hAnsi="Arial" w:eastAsia="MS Mincho" w:cs="Arial"/>
          <w:b/>
          <w:bCs/>
          <w:iCs/>
          <w:kern w:val="32"/>
          <w:sz w:val="24"/>
          <w:szCs w:val="24"/>
          <w:lang w:val="en-US" w:eastAsia="zh-CN" w:bidi="ar-SA"/>
        </w:rPr>
        <w:t>.</w:t>
      </w:r>
      <w:r>
        <w:rPr>
          <w:rFonts w:hint="eastAsia" w:eastAsia="MS Mincho" w:cs="Arial"/>
          <w:b/>
          <w:bCs/>
          <w:iCs/>
          <w:kern w:val="32"/>
          <w:sz w:val="24"/>
          <w:szCs w:val="24"/>
          <w:lang w:val="en-US" w:eastAsia="zh-CN" w:bidi="ar-SA"/>
        </w:rPr>
        <w:t>2</w:t>
      </w:r>
      <w:r>
        <w:rPr>
          <w:rFonts w:hint="default" w:ascii="Arial" w:hAnsi="Arial" w:eastAsia="MS Mincho" w:cs="Arial"/>
          <w:b/>
          <w:bCs/>
          <w:iCs/>
          <w:kern w:val="32"/>
          <w:sz w:val="24"/>
          <w:szCs w:val="24"/>
          <w:lang w:val="en-US" w:eastAsia="zh-CN" w:bidi="ar-SA"/>
        </w:rPr>
        <w:t xml:space="preserve"> </w:t>
      </w:r>
      <w:r>
        <w:rPr>
          <w:rFonts w:hint="eastAsia" w:ascii="Arial" w:hAnsi="Arial" w:eastAsia="MS Mincho" w:cs="Arial"/>
          <w:b/>
          <w:bCs/>
          <w:iCs/>
          <w:kern w:val="32"/>
          <w:sz w:val="24"/>
          <w:szCs w:val="24"/>
          <w:lang w:val="en-US" w:eastAsia="zh-CN" w:bidi="ar-SA"/>
        </w:rPr>
        <w:t>Overview of RAN1 progress</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During recent RAN1 meetings, the mechanism of supporting sDL and mUL in R19 asymmetric mTRP scenario has been identified, to our review, three major solutions were applied:</w:t>
      </w:r>
    </w:p>
    <w:p>
      <w:pPr>
        <w:numPr>
          <w:ilvl w:val="0"/>
          <w:numId w:val="12"/>
        </w:numPr>
        <w:ind w:left="420" w:leftChars="0" w:hanging="420" w:firstLineChars="0"/>
        <w:rPr>
          <w:rFonts w:hint="default"/>
          <w:b w:val="0"/>
          <w:bCs w:val="0"/>
          <w:u w:val="none"/>
          <w:lang w:val="en-US" w:eastAsia="zh-CN"/>
        </w:rPr>
      </w:pPr>
      <w:r>
        <w:rPr>
          <w:rFonts w:hint="default"/>
          <w:b w:val="0"/>
          <w:bCs w:val="0"/>
          <w:u w:val="none"/>
          <w:lang w:val="en-US" w:eastAsia="zh-CN"/>
        </w:rPr>
        <w:t>Configuration of two separate closed loops for SRS</w:t>
      </w:r>
    </w:p>
    <w:p>
      <w:pPr>
        <w:numPr>
          <w:ilvl w:val="0"/>
          <w:numId w:val="12"/>
        </w:numPr>
        <w:ind w:left="420" w:leftChars="0" w:hanging="420" w:firstLineChars="0"/>
        <w:rPr>
          <w:rFonts w:hint="default"/>
          <w:b w:val="0"/>
          <w:bCs w:val="0"/>
          <w:u w:val="none"/>
          <w:lang w:val="en-US" w:eastAsia="zh-CN"/>
        </w:rPr>
      </w:pPr>
      <w:r>
        <w:rPr>
          <w:rFonts w:hint="default"/>
          <w:b w:val="0"/>
          <w:bCs w:val="0"/>
          <w:u w:val="none"/>
          <w:lang w:val="en-US" w:eastAsia="zh-CN"/>
        </w:rPr>
        <w:t>Pathloss offset for joint or UL TCI states</w:t>
      </w:r>
    </w:p>
    <w:p>
      <w:pPr>
        <w:numPr>
          <w:ilvl w:val="0"/>
          <w:numId w:val="12"/>
        </w:numPr>
        <w:ind w:left="420" w:leftChars="0" w:hanging="420" w:firstLineChars="0"/>
        <w:rPr>
          <w:rFonts w:hint="default"/>
          <w:b w:val="0"/>
          <w:bCs w:val="0"/>
          <w:u w:val="none"/>
          <w:lang w:val="en-US" w:eastAsia="zh-CN"/>
        </w:rPr>
      </w:pPr>
      <w:r>
        <w:rPr>
          <w:rFonts w:hint="default"/>
          <w:b w:val="0"/>
          <w:bCs w:val="0"/>
          <w:u w:val="none"/>
          <w:lang w:val="en-US" w:eastAsia="zh-CN"/>
        </w:rPr>
        <w:t>TPC command indication</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To our understanding, all these three solutions aim to handle the power control of the UL transmission from UE to micro node. Generally all these belong to RAN1 scope. The exact RAN1 progress can be shown in [2][3][4].</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default"/>
          <w:b w:val="0"/>
          <w:bCs w:val="0"/>
          <w:u w:val="none"/>
          <w:lang w:val="en-US" w:eastAsia="zh-CN"/>
        </w:rPr>
      </w:pPr>
      <w:r>
        <w:rPr>
          <w:rFonts w:hint="eastAsia"/>
          <w:b w:val="0"/>
          <w:bCs w:val="0"/>
          <w:u w:val="none"/>
          <w:lang w:val="en-US" w:eastAsia="zh-CN"/>
        </w:rPr>
        <w:t>Besides the power control of the micro link UL transmission, another essential part to support such sDL and mUL includes the timing issue and the unified TCI state. We provide our analysis in the below section.</w:t>
      </w:r>
    </w:p>
    <w:p>
      <w:pPr>
        <w:pStyle w:val="4"/>
        <w:bidi w:val="0"/>
        <w:rPr>
          <w:rFonts w:hint="eastAsia" w:ascii="Arial" w:hAnsi="Arial" w:eastAsia="MS Mincho" w:cs="Arial"/>
          <w:b/>
          <w:bCs/>
          <w:iCs/>
          <w:kern w:val="32"/>
          <w:sz w:val="24"/>
          <w:szCs w:val="24"/>
          <w:lang w:val="en-US" w:eastAsia="zh-CN" w:bidi="ar-SA"/>
        </w:rPr>
      </w:pPr>
      <w:r>
        <w:rPr>
          <w:rFonts w:hint="default" w:ascii="Arial" w:hAnsi="Arial" w:eastAsia="MS Mincho" w:cs="Arial"/>
          <w:b/>
          <w:bCs/>
          <w:iCs/>
          <w:kern w:val="32"/>
          <w:sz w:val="24"/>
          <w:szCs w:val="24"/>
          <w:lang w:val="en-US" w:eastAsia="zh-CN" w:bidi="ar-SA"/>
        </w:rPr>
        <w:t>2.</w:t>
      </w:r>
      <w:r>
        <w:rPr>
          <w:rFonts w:hint="eastAsia" w:eastAsia="MS Mincho" w:cs="Arial"/>
          <w:b/>
          <w:bCs/>
          <w:iCs/>
          <w:kern w:val="32"/>
          <w:sz w:val="24"/>
          <w:szCs w:val="24"/>
          <w:lang w:val="en-US" w:eastAsia="zh-CN" w:bidi="ar-SA"/>
        </w:rPr>
        <w:t>2</w:t>
      </w:r>
      <w:r>
        <w:rPr>
          <w:rFonts w:hint="eastAsia" w:ascii="Arial" w:hAnsi="Arial" w:eastAsia="MS Mincho" w:cs="Arial"/>
          <w:b/>
          <w:bCs/>
          <w:iCs/>
          <w:kern w:val="32"/>
          <w:sz w:val="24"/>
          <w:szCs w:val="24"/>
          <w:lang w:val="en-US" w:eastAsia="zh-CN" w:bidi="ar-SA"/>
        </w:rPr>
        <w:t>.</w:t>
      </w:r>
      <w:r>
        <w:rPr>
          <w:rFonts w:hint="eastAsia" w:eastAsia="MS Mincho" w:cs="Arial"/>
          <w:b/>
          <w:bCs/>
          <w:iCs/>
          <w:kern w:val="32"/>
          <w:sz w:val="24"/>
          <w:szCs w:val="24"/>
          <w:lang w:val="en-US" w:eastAsia="zh-CN" w:bidi="ar-SA"/>
        </w:rPr>
        <w:t>3</w:t>
      </w:r>
      <w:r>
        <w:rPr>
          <w:rFonts w:hint="default" w:ascii="Arial" w:hAnsi="Arial" w:eastAsia="MS Mincho" w:cs="Arial"/>
          <w:b/>
          <w:bCs/>
          <w:iCs/>
          <w:kern w:val="32"/>
          <w:sz w:val="24"/>
          <w:szCs w:val="24"/>
          <w:lang w:val="en-US" w:eastAsia="zh-CN" w:bidi="ar-SA"/>
        </w:rPr>
        <w:t xml:space="preserve"> </w:t>
      </w:r>
      <w:r>
        <w:rPr>
          <w:rFonts w:hint="eastAsia" w:eastAsia="MS Mincho" w:cs="Arial"/>
          <w:b/>
          <w:bCs/>
          <w:iCs/>
          <w:kern w:val="32"/>
          <w:sz w:val="24"/>
          <w:szCs w:val="24"/>
          <w:lang w:val="en-US" w:eastAsia="zh-CN" w:bidi="ar-SA"/>
        </w:rPr>
        <w:t>RAN4 RRM aspects analysis</w:t>
      </w:r>
    </w:p>
    <w:p>
      <w:pPr>
        <w:pStyle w:val="9"/>
        <w:bidi w:val="0"/>
        <w:rPr>
          <w:rFonts w:hint="default" w:eastAsia="宋体"/>
          <w:b/>
          <w:u w:val="single"/>
          <w:lang w:val="en-US" w:eastAsia="zh-CN"/>
        </w:rPr>
      </w:pPr>
      <w:r>
        <w:rPr>
          <w:rFonts w:hint="eastAsia" w:eastAsia="宋体"/>
          <w:b/>
          <w:u w:val="single"/>
          <w:lang w:val="en-US" w:eastAsia="zh-CN"/>
        </w:rPr>
        <w:t>Timing</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en-US"/>
        </w:rPr>
      </w:pPr>
      <w:r>
        <w:rPr>
          <w:rFonts w:hint="eastAsia"/>
          <w:b w:val="0"/>
          <w:bCs w:val="0"/>
          <w:u w:val="none"/>
          <w:lang w:val="en-US" w:eastAsia="en-US"/>
        </w:rPr>
        <w:t xml:space="preserve">Both multi-DCI(mDCI) based intra-cell multi-TRP operation introduced in Rel-16 and its extension inter-cell multi-TRP in Rel-17 assume that the timing difference between signals received from the two TRPs is within a cyclic prefix (CP) length and that UE can transmit signals towards the two TRPs using the same timing advance (TA). </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en-US"/>
        </w:rPr>
        <w:t>To handle larger uplink timing differences (&gt;CP) at a UE between two TRPs, the two-TA feature is introduced in Rel-18 for multi-DCI based multi-TRP, where separate timing advance control is supported, and each can be applied to uplink transmission to a TRP.</w:t>
      </w:r>
      <w:r>
        <w:rPr>
          <w:rFonts w:hint="eastAsia"/>
          <w:b w:val="0"/>
          <w:bCs w:val="0"/>
          <w:u w:val="none"/>
          <w:lang w:val="en-US" w:eastAsia="zh-CN"/>
        </w:rPr>
        <w:t xml:space="preserve"> </w:t>
      </w:r>
      <w:r>
        <w:rPr>
          <w:rFonts w:hint="eastAsia"/>
          <w:b w:val="0"/>
          <w:bCs w:val="0"/>
          <w:u w:val="none"/>
          <w:lang w:val="en-US" w:eastAsia="en-US"/>
        </w:rPr>
        <w:t>UL timing is derived from the DL timing, so two individual DL timing are needed, and each associated with the corresponding UL/joint TCI states, the corresponding UL/joint TCI states associated to a coresetPoolIndex, each coresetPoolIndex corresponds to one TAG</w:t>
      </w:r>
      <w:r>
        <w:rPr>
          <w:rFonts w:hint="eastAsia"/>
          <w:b w:val="0"/>
          <w:bCs w:val="0"/>
          <w:u w:val="none"/>
          <w:lang w:val="en-US" w:eastAsia="zh-CN"/>
        </w:rPr>
        <w:t>.</w:t>
      </w:r>
    </w:p>
    <w:p>
      <w:pPr>
        <w:pStyle w:val="9"/>
        <w:keepNext w:val="0"/>
        <w:keepLines w:val="0"/>
        <w:pageBreakBefore w:val="0"/>
        <w:widowControl/>
        <w:kinsoku/>
        <w:wordWrap/>
        <w:overflowPunct/>
        <w:topLinePunct w:val="0"/>
        <w:autoSpaceDE/>
        <w:autoSpaceDN/>
        <w:bidi w:val="0"/>
        <w:adjustRightInd/>
        <w:snapToGrid/>
        <w:spacing w:before="120"/>
        <w:textAlignment w:val="auto"/>
        <w:rPr>
          <w:rFonts w:hint="eastAsia"/>
          <w:b w:val="0"/>
          <w:bCs w:val="0"/>
          <w:u w:val="none"/>
          <w:lang w:val="en-US" w:eastAsia="zh-CN"/>
        </w:rPr>
      </w:pPr>
      <w:r>
        <w:rPr>
          <w:rFonts w:hint="eastAsia"/>
          <w:b w:val="0"/>
          <w:bCs w:val="0"/>
          <w:u w:val="none"/>
          <w:lang w:val="en-US" w:eastAsia="zh-CN"/>
        </w:rPr>
        <w:t>Even two TA mechanism in R18 MIMO is only applicable to m-DCI case, while the R19 MIMO focus on s-DCI case(common understanding, no explicit RAN1 agreements until RAN1#117 meeting), from the perspective of scenario, R18 MIMO and R19 MIMO both target at the non-co-located UL mTRP case, so it is nature to reuse the R18 two TA mechanism to address the timing issue.</w:t>
      </w:r>
    </w:p>
    <w:p>
      <w:pPr>
        <w:pStyle w:val="9"/>
        <w:bidi w:val="0"/>
        <w:rPr>
          <w:rFonts w:hint="eastAsia"/>
          <w:b w:val="0"/>
          <w:bCs w:val="0"/>
          <w:u w:val="none"/>
          <w:lang w:val="en-US" w:eastAsia="zh-CN"/>
        </w:rPr>
      </w:pPr>
      <w:r>
        <w:rPr>
          <w:rFonts w:hint="eastAsia"/>
          <w:b/>
          <w:bCs/>
          <w:lang w:val="en-US" w:eastAsia="zh-CN"/>
        </w:rPr>
        <w:t>Proposal 6: Even two TA mechanism in R18 MIMO is only applicable to m-DCI case, while the R19 MIMO focus on s-DCI case, from the perspective of scenario, R18 MIMO and R19 MIMO both target at the non-co-located UL mTRP case, so it is nature to reuse the R18 two TA mechanism to address the timing issue.</w:t>
      </w:r>
    </w:p>
    <w:p>
      <w:pPr>
        <w:numPr>
          <w:ilvl w:val="0"/>
          <w:numId w:val="0"/>
        </w:numPr>
        <w:ind w:leftChars="0"/>
        <w:rPr>
          <w:rFonts w:hint="eastAsia" w:ascii="Arial" w:hAnsi="Arial" w:eastAsia="MS Mincho" w:cs="Times New Roman"/>
          <w:b w:val="0"/>
          <w:bCs w:val="0"/>
          <w:szCs w:val="24"/>
          <w:u w:val="none"/>
          <w:lang w:val="en-US" w:eastAsia="zh-CN" w:bidi="ar-SA"/>
        </w:rPr>
      </w:pPr>
      <w:r>
        <w:rPr>
          <w:rFonts w:hint="eastAsia" w:ascii="Arial" w:hAnsi="Arial" w:eastAsia="MS Mincho" w:cs="Times New Roman"/>
          <w:b w:val="0"/>
          <w:bCs w:val="0"/>
          <w:szCs w:val="24"/>
          <w:u w:val="none"/>
          <w:lang w:val="en-US" w:eastAsia="zh-CN" w:bidi="ar-SA"/>
        </w:rPr>
        <w:t>The possible change between R18 and R19 lies in:</w:t>
      </w:r>
    </w:p>
    <w:p>
      <w:pPr>
        <w:numPr>
          <w:ilvl w:val="0"/>
          <w:numId w:val="13"/>
        </w:numPr>
        <w:ind w:left="420" w:leftChars="0" w:hanging="420" w:firstLineChars="0"/>
        <w:rPr>
          <w:rFonts w:hint="eastAsia" w:ascii="Arial" w:hAnsi="Arial" w:eastAsia="MS Mincho" w:cs="Times New Roman"/>
          <w:b w:val="0"/>
          <w:bCs w:val="0"/>
          <w:szCs w:val="24"/>
          <w:u w:val="none"/>
          <w:lang w:val="en-US" w:eastAsia="en-US" w:bidi="ar-SA"/>
        </w:rPr>
      </w:pPr>
      <w:r>
        <w:rPr>
          <w:rFonts w:hint="eastAsia" w:ascii="Arial" w:hAnsi="Arial" w:eastAsia="MS Mincho" w:cs="Times New Roman"/>
          <w:b w:val="0"/>
          <w:bCs w:val="0"/>
          <w:szCs w:val="24"/>
          <w:u w:val="none"/>
          <w:lang w:val="en-US" w:eastAsia="zh-CN" w:bidi="ar-SA"/>
        </w:rPr>
        <w:t>R</w:t>
      </w:r>
      <w:r>
        <w:rPr>
          <w:rFonts w:hint="eastAsia" w:ascii="Arial" w:hAnsi="Arial" w:eastAsia="MS Mincho" w:cs="Times New Roman"/>
          <w:b w:val="0"/>
          <w:bCs w:val="0"/>
          <w:szCs w:val="24"/>
          <w:u w:val="none"/>
          <w:lang w:val="en-US" w:eastAsia="en-US" w:bidi="ar-SA"/>
        </w:rPr>
        <w:t>emoving the association between a TAG and CORESETPooIndex</w:t>
      </w:r>
      <w:r>
        <w:rPr>
          <w:rFonts w:hint="eastAsia" w:ascii="Arial" w:hAnsi="Arial" w:eastAsia="MS Mincho" w:cs="Times New Roman"/>
          <w:b w:val="0"/>
          <w:bCs w:val="0"/>
          <w:szCs w:val="24"/>
          <w:u w:val="none"/>
          <w:lang w:val="en-US" w:eastAsia="zh-CN" w:bidi="ar-SA"/>
        </w:rPr>
        <w:t xml:space="preserve">, since only one CORESETpool in s-DCI case </w:t>
      </w:r>
      <w:r>
        <w:rPr>
          <w:rFonts w:hint="eastAsia" w:eastAsia="MS Mincho" w:cs="Times New Roman"/>
          <w:b w:val="0"/>
          <w:bCs w:val="0"/>
          <w:szCs w:val="24"/>
          <w:u w:val="none"/>
          <w:lang w:val="en-US" w:eastAsia="zh-CN" w:bidi="ar-SA"/>
        </w:rPr>
        <w:t>allowed in</w:t>
      </w:r>
      <w:r>
        <w:rPr>
          <w:rFonts w:hint="eastAsia" w:ascii="Arial" w:hAnsi="Arial" w:eastAsia="MS Mincho" w:cs="Times New Roman"/>
          <w:b w:val="0"/>
          <w:bCs w:val="0"/>
          <w:szCs w:val="24"/>
          <w:u w:val="none"/>
          <w:lang w:val="en-US" w:eastAsia="zh-CN" w:bidi="ar-SA"/>
        </w:rPr>
        <w:t xml:space="preserve"> R19</w:t>
      </w:r>
    </w:p>
    <w:p>
      <w:pPr>
        <w:numPr>
          <w:ilvl w:val="0"/>
          <w:numId w:val="13"/>
        </w:numPr>
        <w:ind w:left="420" w:leftChars="0" w:hanging="420" w:firstLineChars="0"/>
        <w:rPr>
          <w:rFonts w:hint="eastAsia" w:ascii="Arial" w:hAnsi="Arial" w:eastAsia="MS Mincho" w:cs="Times New Roman"/>
          <w:b w:val="0"/>
          <w:bCs w:val="0"/>
          <w:szCs w:val="24"/>
          <w:u w:val="none"/>
          <w:lang w:val="en-US" w:eastAsia="en-US" w:bidi="ar-SA"/>
        </w:rPr>
      </w:pPr>
      <w:r>
        <w:rPr>
          <w:rFonts w:hint="eastAsia" w:ascii="Arial" w:hAnsi="Arial" w:eastAsia="MS Mincho" w:cs="Times New Roman"/>
          <w:b w:val="0"/>
          <w:bCs w:val="0"/>
          <w:szCs w:val="24"/>
          <w:u w:val="none"/>
          <w:lang w:val="en-US" w:eastAsia="zh-CN" w:bidi="ar-SA"/>
        </w:rPr>
        <w:t>U</w:t>
      </w:r>
      <w:r>
        <w:rPr>
          <w:rFonts w:hint="eastAsia" w:eastAsia="宋体" w:cs="Times New Roman"/>
          <w:b w:val="0"/>
          <w:bCs w:val="0"/>
          <w:szCs w:val="24"/>
          <w:u w:val="none"/>
          <w:lang w:val="en-US" w:eastAsia="zh-CN" w:bidi="ar-SA"/>
        </w:rPr>
        <w:t>tilizing</w:t>
      </w:r>
      <w:r>
        <w:rPr>
          <w:rFonts w:hint="eastAsia" w:ascii="Arial" w:hAnsi="Arial" w:eastAsia="MS Mincho" w:cs="Times New Roman"/>
          <w:b w:val="0"/>
          <w:bCs w:val="0"/>
          <w:szCs w:val="24"/>
          <w:u w:val="none"/>
          <w:lang w:val="en-US" w:eastAsia="en-US" w:bidi="ar-SA"/>
        </w:rPr>
        <w:t xml:space="preserve"> a single DL timing (from the </w:t>
      </w:r>
      <w:r>
        <w:rPr>
          <w:rFonts w:hint="eastAsia" w:ascii="Arial" w:hAnsi="Arial" w:eastAsia="MS Mincho" w:cs="Times New Roman"/>
          <w:b w:val="0"/>
          <w:bCs w:val="0"/>
          <w:szCs w:val="24"/>
          <w:u w:val="none"/>
          <w:lang w:val="en-US" w:eastAsia="zh-CN" w:bidi="ar-SA"/>
        </w:rPr>
        <w:t>macro</w:t>
      </w:r>
      <w:r>
        <w:rPr>
          <w:rFonts w:hint="eastAsia" w:eastAsia="MS Mincho" w:cs="Times New Roman"/>
          <w:b w:val="0"/>
          <w:bCs w:val="0"/>
          <w:szCs w:val="24"/>
          <w:u w:val="none"/>
          <w:lang w:val="en-US" w:eastAsia="zh-CN" w:bidi="ar-SA"/>
        </w:rPr>
        <w:t xml:space="preserve"> to UE</w:t>
      </w:r>
      <w:r>
        <w:rPr>
          <w:rFonts w:hint="eastAsia" w:ascii="Arial" w:hAnsi="Arial" w:eastAsia="MS Mincho" w:cs="Times New Roman"/>
          <w:b w:val="0"/>
          <w:bCs w:val="0"/>
          <w:szCs w:val="24"/>
          <w:u w:val="none"/>
          <w:lang w:val="en-US" w:eastAsia="en-US" w:bidi="ar-SA"/>
        </w:rPr>
        <w:t>) for both TAs, instead of using two DL reference signals as in the Rel-18 mDCI two-TA solution</w:t>
      </w:r>
    </w:p>
    <w:p>
      <w:pPr>
        <w:pStyle w:val="9"/>
        <w:bidi w:val="0"/>
        <w:rPr>
          <w:rFonts w:hint="eastAsia"/>
          <w:b/>
          <w:bCs/>
          <w:lang w:val="en-US" w:eastAsia="zh-CN"/>
        </w:rPr>
      </w:pPr>
      <w:r>
        <w:rPr>
          <w:rFonts w:hint="eastAsia"/>
          <w:b/>
          <w:bCs/>
          <w:lang w:val="en-US" w:eastAsia="zh-CN"/>
        </w:rPr>
        <w:t>Observation 8: Two points distinguish R19 from R18: 1) Removing the association between TAG and CORESETPooIndex since only one CORESETpool in s-DCI case allowed in R19; 2) Utilizing a single DL timing (from the macro to UE) for both TAs, instead of using two DL reference signals as in the Rel-18 mDCI two-TA solution</w:t>
      </w:r>
    </w:p>
    <w:p>
      <w:pPr>
        <w:pStyle w:val="9"/>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How to obtain and maintain two TAs referring to a single DL timing, this issue is still discussed in RAN1 and without progress until RAN1#117 meeting. To our understanding, since the propagation delay between macro link and micro link are different, to derive the TA for micro link, UE needs to send UL signals to NW, so that NW can derive the TA for micro link, such UL signals could be SRS or PRACH.</w:t>
      </w:r>
    </w:p>
    <w:p>
      <w:pPr>
        <w:pStyle w:val="9"/>
        <w:bidi w:val="0"/>
        <w:rPr>
          <w:rFonts w:hint="eastAsia"/>
          <w:b/>
          <w:bCs/>
          <w:lang w:val="en-US" w:eastAsia="zh-CN"/>
        </w:rPr>
      </w:pPr>
      <w:r>
        <w:rPr>
          <w:rFonts w:hint="eastAsia"/>
          <w:b/>
          <w:bCs/>
          <w:lang w:val="en-US" w:eastAsia="zh-CN"/>
        </w:rPr>
        <w:t>Observation 9: Based on the single DL timing, UE has to send SRS or PRACH signals to micro to let NW determine the TA for micro link.</w:t>
      </w:r>
    </w:p>
    <w:p>
      <w:pPr>
        <w:pStyle w:val="9"/>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In R18 MIMO, how to identify a common DL timing was discussed, the following progress were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lang w:eastAsia="zh-CN"/>
              </w:rPr>
            </w:pPr>
            <w:r>
              <w:rPr>
                <w:b/>
                <w:highlight w:val="green"/>
                <w:lang w:eastAsia="zh-CN"/>
              </w:rPr>
              <w:t>Agreement</w:t>
            </w:r>
            <w:r>
              <w:rPr>
                <w:lang w:eastAsia="zh-CN"/>
              </w:rPr>
              <w:t xml:space="preserve">: </w:t>
            </w:r>
          </w:p>
          <w:p>
            <w:pPr>
              <w:pStyle w:val="9"/>
              <w:bidi w:val="0"/>
              <w:rPr>
                <w:rFonts w:hint="default" w:cs="Times New Roman"/>
                <w:b w:val="0"/>
                <w:bCs w:val="0"/>
                <w:szCs w:val="24"/>
                <w:u w:val="none"/>
                <w:vertAlign w:val="baseline"/>
                <w:lang w:val="en-US" w:eastAsia="zh-CN" w:bidi="ar-SA"/>
              </w:rPr>
            </w:pPr>
            <w:r>
              <w:rPr>
                <w:lang w:eastAsia="zh-CN"/>
              </w:rPr>
              <w:t>For</w:t>
            </w:r>
            <w:r>
              <w:rPr>
                <w:rFonts w:eastAsiaTheme="minorEastAsia"/>
                <w:lang w:eastAsia="zh-CN"/>
              </w:rPr>
              <w:t xml:space="preserve"> </w:t>
            </w:r>
            <w:r>
              <w:t>multi</w:t>
            </w:r>
            <w:r>
              <w:rPr>
                <w:rFonts w:eastAsiaTheme="minorEastAsia"/>
                <w:lang w:eastAsia="zh-CN"/>
              </w:rPr>
              <w:t>-</w:t>
            </w:r>
            <w:r>
              <w:rPr>
                <w:rFonts w:eastAsia="宋体"/>
                <w:szCs w:val="24"/>
                <w:lang w:eastAsia="zh-CN"/>
              </w:rPr>
              <w:t>DCI</w:t>
            </w:r>
            <w:r>
              <w:rPr>
                <w:rFonts w:eastAsiaTheme="minorEastAsia"/>
                <w:lang w:eastAsia="zh-CN"/>
              </w:rPr>
              <w:t xml:space="preserve"> based multi-TRP </w:t>
            </w:r>
            <w:r>
              <w:t>operation with two TAs, for each TAG, the uplink transmission timing takes place</w:t>
            </w:r>
            <w:r>
              <w:rPr>
                <w:vertAlign w:val="subscript"/>
              </w:rPr>
              <w:t xml:space="preserve"> </w:t>
            </w:r>
            <w:r>
              <w:rPr>
                <w:position w:val="-10"/>
              </w:rPr>
              <w:object>
                <v:shape id="_x0000_i1025" o:spt="75" type="#_x0000_t75" style="height:12.35pt;width:88.35pt;" o:ole="t" filled="f" o:preferrelative="t" stroked="f" coordsize="21600,21600">
                  <v:path/>
                  <v:fill on="f" focussize="0,0"/>
                  <v:stroke on="f" joinstyle="miter"/>
                  <v:imagedata r:id="rId23" o:title=""/>
                  <o:lock v:ext="edit" aspectratio="t"/>
                  <w10:wrap type="none"/>
                  <w10:anchorlock/>
                </v:shape>
                <o:OLEObject Type="Embed" ProgID="Equation.3" ShapeID="_x0000_i1025" DrawAspect="Content" ObjectID="_1468075725" r:id="rId22">
                  <o:LockedField>false</o:LockedField>
                </o:OLEObject>
              </w:object>
            </w:r>
            <w:r>
              <w:t xml:space="preserve"> before </w:t>
            </w:r>
            <w:r>
              <w:rPr>
                <w:rFonts w:cs="v4.2.0"/>
              </w:rPr>
              <w:t>the reception of the first detected path (in time) of the corresponding downlink frame</w:t>
            </w:r>
            <w:r>
              <w:t xml:space="preserve"> of the reference signal associated with UL/joint TCI state.</w:t>
            </w:r>
          </w:p>
        </w:tc>
      </w:tr>
    </w:tbl>
    <w:p>
      <w:pPr>
        <w:pStyle w:val="9"/>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To save the effort, here it is better to leverage the R18 conclusion as much as possible, i.e. the single DL timing is determined as the reception of the first detected path (in time) of the corresponding downlink frame of the reference signal associated with UL/joint TCI state of macro link.</w:t>
      </w:r>
    </w:p>
    <w:p>
      <w:pPr>
        <w:pStyle w:val="9"/>
        <w:bidi w:val="0"/>
        <w:rPr>
          <w:rFonts w:hint="eastAsia"/>
          <w:b/>
          <w:bCs/>
          <w:lang w:val="en-US" w:eastAsia="zh-CN"/>
        </w:rPr>
      </w:pPr>
      <w:r>
        <w:rPr>
          <w:rFonts w:hint="eastAsia"/>
          <w:b/>
          <w:bCs/>
          <w:lang w:val="en-US" w:eastAsia="zh-CN"/>
        </w:rPr>
        <w:t>Proposal 7: Regarding how to identify the common DL timing for macro link and micro link, leverage the DL timing derivation identified in R18 MIMO, i.e. the single DL timing is determined as the reception of the first detected path (in time) of the corresponding downlink frame of the reference signal associated with UL/joint TCI state of macro link.</w:t>
      </w:r>
    </w:p>
    <w:p>
      <w:pPr>
        <w:pStyle w:val="9"/>
        <w:bidi w:val="0"/>
        <w:rPr>
          <w:rFonts w:hint="eastAsia" w:cs="Times New Roman"/>
          <w:b w:val="0"/>
          <w:bCs w:val="0"/>
          <w:szCs w:val="24"/>
          <w:u w:val="none"/>
          <w:lang w:val="en-US" w:eastAsia="zh-CN" w:bidi="ar-SA"/>
        </w:rPr>
      </w:pPr>
      <w:r>
        <w:rPr>
          <w:rFonts w:hint="eastAsia" w:cs="Times New Roman"/>
          <w:b w:val="0"/>
          <w:bCs w:val="0"/>
          <w:szCs w:val="24"/>
          <w:u w:val="none"/>
          <w:lang w:val="en-US" w:eastAsia="zh-CN" w:bidi="ar-SA"/>
        </w:rPr>
        <w:t>After the two TA maintaining solution determined, RAN4 can further discuss the requirements of UL transmission for micro link, the Te, Tp/Tq for micro link.</w:t>
      </w:r>
    </w:p>
    <w:p>
      <w:pPr>
        <w:pStyle w:val="9"/>
        <w:bidi w:val="0"/>
        <w:rPr>
          <w:rFonts w:hint="default" w:cs="Times New Roman"/>
          <w:b w:val="0"/>
          <w:bCs w:val="0"/>
          <w:szCs w:val="24"/>
          <w:u w:val="none"/>
          <w:lang w:val="en-US" w:eastAsia="zh-CN" w:bidi="ar-SA"/>
        </w:rPr>
      </w:pPr>
    </w:p>
    <w:p>
      <w:pPr>
        <w:pStyle w:val="9"/>
        <w:bidi w:val="0"/>
        <w:rPr>
          <w:rFonts w:hint="eastAsia" w:eastAsia="宋体"/>
          <w:b/>
          <w:u w:val="single"/>
          <w:lang w:val="en-US" w:eastAsia="zh-CN"/>
        </w:rPr>
      </w:pPr>
      <w:r>
        <w:rPr>
          <w:rFonts w:hint="eastAsia" w:eastAsia="宋体"/>
          <w:b/>
          <w:u w:val="single"/>
          <w:lang w:val="en-US" w:eastAsia="zh-CN"/>
        </w:rPr>
        <w:t>Unified TCI state for sDL and mUL</w:t>
      </w:r>
    </w:p>
    <w:p>
      <w:pPr>
        <w:pStyle w:val="9"/>
        <w:bidi w:val="0"/>
        <w:rPr>
          <w:rFonts w:hint="default" w:cs="Times New Roman"/>
          <w:b w:val="0"/>
          <w:bCs w:val="0"/>
          <w:szCs w:val="24"/>
          <w:u w:val="none"/>
          <w:lang w:val="en-US" w:eastAsia="zh-CN" w:bidi="ar-SA"/>
        </w:rPr>
      </w:pPr>
      <w:r>
        <w:rPr>
          <w:rFonts w:hint="eastAsia" w:cs="Times New Roman"/>
          <w:b w:val="0"/>
          <w:bCs w:val="0"/>
          <w:szCs w:val="24"/>
          <w:u w:val="none"/>
          <w:lang w:val="en-US" w:eastAsia="zh-CN" w:bidi="ar-SA"/>
        </w:rPr>
        <w:t>To our understanding, it is nature to reuse the unified TCI state framework defined in R18 MIMO sDCI case as much as possible, just add the adaptation update to facilitate the multiple UL transmission.</w:t>
      </w:r>
    </w:p>
    <w:p>
      <w:pPr>
        <w:pStyle w:val="9"/>
        <w:bidi w:val="0"/>
        <w:rPr>
          <w:rFonts w:hint="default"/>
          <w:b/>
          <w:bCs/>
          <w:lang w:val="en-US" w:eastAsia="zh-CN"/>
        </w:rPr>
      </w:pPr>
      <w:r>
        <w:rPr>
          <w:rFonts w:hint="eastAsia"/>
          <w:b/>
          <w:bCs/>
          <w:lang w:val="en-US" w:eastAsia="zh-CN"/>
        </w:rPr>
        <w:t>Proposal 8: Reuse the unified TCI state framework defined in R18 MIMO sDCI case as much as possible, just add the adaptation update to facilitate the multiple UL transmission.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w:t>
      </w:r>
    </w:p>
    <w:p>
      <w:pPr>
        <w:pStyle w:val="9"/>
        <w:tabs>
          <w:tab w:val="left" w:pos="226"/>
          <w:tab w:val="left" w:pos="284"/>
          <w:tab w:val="left" w:pos="5103"/>
        </w:tabs>
        <w:snapToGrid w:val="0"/>
        <w:rPr>
          <w:rFonts w:hint="default" w:eastAsia="宋体"/>
          <w:bCs/>
          <w:color w:val="auto"/>
          <w:sz w:val="20"/>
          <w:szCs w:val="20"/>
          <w:lang w:val="en-US" w:eastAsia="zh-CN"/>
        </w:rPr>
      </w:pPr>
      <w:r>
        <w:rPr>
          <w:rFonts w:hint="eastAsia" w:eastAsia="宋体"/>
          <w:bCs/>
          <w:color w:val="auto"/>
          <w:sz w:val="20"/>
          <w:szCs w:val="20"/>
          <w:lang w:val="en-US" w:eastAsia="zh-CN"/>
        </w:rPr>
        <w:t xml:space="preserve">Regarding the UE-initiated/event-driven beam management, </w:t>
      </w:r>
    </w:p>
    <w:p>
      <w:pPr>
        <w:pStyle w:val="9"/>
        <w:bidi w:val="0"/>
        <w:rPr>
          <w:rFonts w:hint="eastAsia"/>
          <w:b/>
          <w:bCs/>
          <w:lang w:val="en-US" w:eastAsia="zh-CN"/>
        </w:rPr>
      </w:pPr>
      <w:r>
        <w:rPr>
          <w:rFonts w:hint="eastAsia"/>
          <w:b/>
          <w:bCs/>
          <w:lang w:val="en-US" w:eastAsia="zh-CN"/>
        </w:rPr>
        <w:t>Observation 1: RAN1 has decided the general procedure of UE-initiated beam management. During the whole procedure, RAN4 could focus on the measurement and detection requirements.</w:t>
      </w:r>
    </w:p>
    <w:p>
      <w:pPr>
        <w:pStyle w:val="9"/>
        <w:bidi w:val="0"/>
        <w:rPr>
          <w:rFonts w:hint="eastAsia"/>
          <w:b/>
          <w:bCs/>
          <w:lang w:val="en-US" w:eastAsia="zh-CN"/>
        </w:rPr>
      </w:pPr>
      <w:r>
        <w:rPr>
          <w:rFonts w:hint="eastAsia"/>
          <w:b/>
          <w:bCs/>
          <w:lang w:val="en-US" w:eastAsia="zh-CN"/>
        </w:rPr>
        <w:t>Observation 2: RAN1 agreed to perform the L1-RSRP measurement based on intra-cell SSB, inter-cell SSB and periodic CSI-RS for BM. Whether to extend the candidate RS to TRS, RAN1 is still in discussion.</w:t>
      </w:r>
    </w:p>
    <w:p>
      <w:pPr>
        <w:pStyle w:val="9"/>
        <w:bidi w:val="0"/>
        <w:rPr>
          <w:rFonts w:hint="eastAsia"/>
          <w:b/>
          <w:bCs/>
          <w:lang w:val="en-US" w:eastAsia="zh-CN"/>
        </w:rPr>
      </w:pPr>
      <w:r>
        <w:rPr>
          <w:rFonts w:hint="eastAsia"/>
          <w:b/>
          <w:bCs/>
          <w:lang w:val="en-US" w:eastAsia="zh-CN"/>
        </w:rPr>
        <w:t>Observation 3: The framework of report contains N+1 beams, in which 1 means the current beam, and N means multiple new beams, i.e. the potential target beams. The exact candidates of the current beam and new beam are still in RAN1 discussion.</w:t>
      </w:r>
    </w:p>
    <w:p>
      <w:pPr>
        <w:pStyle w:val="9"/>
        <w:bidi w:val="0"/>
        <w:rPr>
          <w:rFonts w:hint="default" w:eastAsia="宋体"/>
          <w:lang w:val="en-US" w:eastAsia="zh-CN"/>
        </w:rPr>
      </w:pPr>
      <w:r>
        <w:rPr>
          <w:rFonts w:hint="eastAsia"/>
          <w:b/>
          <w:bCs/>
          <w:lang w:val="en-US" w:eastAsia="zh-CN"/>
        </w:rPr>
        <w:t>Observation 4: A new type of trigger event based on L1-RSRP measurement is identified by RAN1, such trigger event introduce a timer and counter.</w:t>
      </w:r>
    </w:p>
    <w:p>
      <w:pPr>
        <w:pStyle w:val="9"/>
        <w:bidi w:val="0"/>
        <w:rPr>
          <w:rFonts w:hint="default"/>
          <w:b/>
          <w:bCs/>
          <w:lang w:val="en-US" w:eastAsia="zh-CN"/>
        </w:rPr>
      </w:pPr>
      <w:r>
        <w:rPr>
          <w:rFonts w:hint="eastAsia"/>
          <w:b/>
          <w:bCs/>
          <w:lang w:val="en-US" w:eastAsia="zh-CN"/>
        </w:rPr>
        <w:t>Proposal 1: To reduce the latency and overhead of intra-cell and inter-cell BM, both enhanced Tx beam tracking and Rx beam refinement can be considered.</w:t>
      </w:r>
    </w:p>
    <w:p>
      <w:pPr>
        <w:pStyle w:val="9"/>
        <w:bidi w:val="0"/>
        <w:rPr>
          <w:rFonts w:hint="default"/>
          <w:b/>
          <w:bCs/>
          <w:lang w:val="en-US" w:eastAsia="zh-CN"/>
        </w:rPr>
      </w:pPr>
      <w:r>
        <w:rPr>
          <w:rFonts w:hint="eastAsia"/>
          <w:b/>
          <w:bCs/>
          <w:lang w:val="en-US" w:eastAsia="zh-CN"/>
        </w:rPr>
        <w:t>Proposal 2: The assumption of N = 8 fine beam sweeping can be enhanced to realize more efficient BM. For example the combination of coarse Rx beam and fine Rx beam would facilitate faster Tx and Rx beam refinement.</w:t>
      </w:r>
    </w:p>
    <w:p>
      <w:pPr>
        <w:pStyle w:val="9"/>
        <w:bidi w:val="0"/>
        <w:rPr>
          <w:rFonts w:hint="default"/>
          <w:b/>
          <w:bCs/>
          <w:lang w:val="en-US" w:eastAsia="zh-CN"/>
        </w:rPr>
      </w:pPr>
      <w:r>
        <w:rPr>
          <w:rFonts w:hint="eastAsia"/>
          <w:b/>
          <w:bCs/>
          <w:lang w:val="en-US" w:eastAsia="zh-CN"/>
        </w:rPr>
        <w:t>Proposal 3: To support inter-cell BM, for the issues regardless of NW driven or UE-initiated, it is better to leverage the R17 ICBM conclusions/requirements as much as possible.</w:t>
      </w:r>
    </w:p>
    <w:p>
      <w:pPr>
        <w:pStyle w:val="9"/>
        <w:bidi w:val="0"/>
        <w:rPr>
          <w:rFonts w:hint="default"/>
          <w:b/>
          <w:bCs/>
          <w:lang w:val="en-US" w:eastAsia="zh-CN"/>
        </w:rPr>
      </w:pPr>
      <w:r>
        <w:rPr>
          <w:rFonts w:hint="eastAsia"/>
          <w:b/>
          <w:bCs/>
          <w:lang w:val="en-US" w:eastAsia="zh-CN"/>
        </w:rPr>
        <w:t>Observation 5: In the legacy NW driven BM, the NW can predict when the UE would report and in fact multiple reporting would not lead to beam switching especially under periodic reporting configuration. While for UE-initiated BM, NW is unaware of whether and when the UE would report. Such UE-initiated reported target beam is largely probably lead to beam switching.</w:t>
      </w:r>
    </w:p>
    <w:p>
      <w:pPr>
        <w:pStyle w:val="9"/>
        <w:bidi w:val="0"/>
        <w:rPr>
          <w:rFonts w:hint="eastAsia"/>
          <w:b/>
          <w:bCs/>
          <w:lang w:val="en-US" w:eastAsia="zh-CN"/>
        </w:rPr>
      </w:pPr>
      <w:r>
        <w:rPr>
          <w:rFonts w:hint="eastAsia"/>
          <w:b/>
          <w:bCs/>
          <w:lang w:val="en-US" w:eastAsia="zh-CN"/>
        </w:rPr>
        <w:t>Proposal 4: Whether need to tight the accuracy requirement on top of legacy L1-RSRP accuracy or design new requirement, which should be discussed in RAN4.</w:t>
      </w:r>
    </w:p>
    <w:p>
      <w:pPr>
        <w:pStyle w:val="9"/>
        <w:bidi w:val="0"/>
        <w:rPr>
          <w:rFonts w:hint="eastAsia"/>
          <w:b/>
          <w:bCs/>
          <w:lang w:val="en-US" w:eastAsia="zh-CN"/>
        </w:rPr>
      </w:pPr>
      <w:r>
        <w:rPr>
          <w:rFonts w:hint="eastAsia"/>
          <w:b/>
          <w:bCs/>
          <w:lang w:val="en-US" w:eastAsia="zh-CN"/>
        </w:rPr>
        <w:t>Observation 6: In R18 MIMO, sDCI based and mDCI based mTRP scenario have been supported. Especially for mDCI, two TA based UL transmission is introduced for the capable UE. While two TA based UL transmission is not supported for sDCI due to a lack of time and scope management.</w:t>
      </w:r>
    </w:p>
    <w:p>
      <w:pPr>
        <w:pStyle w:val="9"/>
        <w:bidi w:val="0"/>
        <w:rPr>
          <w:rFonts w:hint="eastAsia"/>
          <w:b/>
          <w:bCs/>
          <w:lang w:val="en-US" w:eastAsia="zh-CN"/>
        </w:rPr>
      </w:pPr>
      <w:r>
        <w:rPr>
          <w:rFonts w:hint="eastAsia"/>
          <w:b/>
          <w:bCs/>
          <w:lang w:val="en-US" w:eastAsia="zh-CN"/>
        </w:rPr>
        <w:t>Observation 7: One important difference between R18 MIMO and R19 MIMO lies on the number of CORESET Pool. Since only the macro node send DL transmission, so it is nature that only one CORESET Pool exists.</w:t>
      </w:r>
    </w:p>
    <w:p>
      <w:pPr>
        <w:pStyle w:val="9"/>
        <w:bidi w:val="0"/>
        <w:rPr>
          <w:rFonts w:hint="eastAsia"/>
          <w:b w:val="0"/>
          <w:bCs w:val="0"/>
          <w:u w:val="none"/>
          <w:lang w:val="en-US" w:eastAsia="zh-CN"/>
        </w:rPr>
      </w:pPr>
      <w:r>
        <w:rPr>
          <w:rFonts w:hint="eastAsia"/>
          <w:b/>
          <w:bCs/>
          <w:lang w:val="en-US" w:eastAsia="zh-CN"/>
        </w:rPr>
        <w:t>Proposal 5: It should be clarified only sDCI case allowed in R19 asymmetric mTRP scenario.</w:t>
      </w:r>
    </w:p>
    <w:p>
      <w:pPr>
        <w:pStyle w:val="9"/>
        <w:bidi w:val="0"/>
        <w:rPr>
          <w:rFonts w:hint="eastAsia"/>
          <w:b w:val="0"/>
          <w:bCs w:val="0"/>
          <w:u w:val="none"/>
          <w:lang w:val="en-US" w:eastAsia="zh-CN"/>
        </w:rPr>
      </w:pPr>
      <w:r>
        <w:rPr>
          <w:rFonts w:hint="eastAsia"/>
          <w:b/>
          <w:bCs/>
          <w:lang w:val="en-US" w:eastAsia="zh-CN"/>
        </w:rPr>
        <w:t>Proposal 6: Even two TA mechanism in R18 MIMO is only applicable to m-DCI case, while the R19 MIMO focus on s-DCI case, from the perspective of scenario, R18 MIMO and R19 MIMO both target at the non-co-located UL mTRP case, so it is nature to reuse the R18 two TA mechanism to address the timing issue.</w:t>
      </w:r>
    </w:p>
    <w:p>
      <w:pPr>
        <w:pStyle w:val="9"/>
        <w:bidi w:val="0"/>
        <w:rPr>
          <w:rFonts w:hint="eastAsia"/>
          <w:b/>
          <w:bCs/>
          <w:lang w:val="en-US" w:eastAsia="zh-CN"/>
        </w:rPr>
      </w:pPr>
      <w:r>
        <w:rPr>
          <w:rFonts w:hint="eastAsia"/>
          <w:b/>
          <w:bCs/>
          <w:lang w:val="en-US" w:eastAsia="zh-CN"/>
        </w:rPr>
        <w:t>Observation 8: Two points distinguish R19 from R18: 1) Removing the association between TAG and CORESETPooIndex since only one CORESETpool in s-DCI case allowed in R19; 2) Utilizing a single DL timing (from the macro to UE) for both TAs, instead of using two DL reference signals as in the Rel-18 mDCI two-TA solution</w:t>
      </w:r>
    </w:p>
    <w:p>
      <w:pPr>
        <w:pStyle w:val="9"/>
        <w:bidi w:val="0"/>
        <w:rPr>
          <w:rFonts w:hint="eastAsia"/>
          <w:b/>
          <w:bCs/>
          <w:lang w:val="en-US" w:eastAsia="zh-CN"/>
        </w:rPr>
      </w:pPr>
      <w:r>
        <w:rPr>
          <w:rFonts w:hint="eastAsia"/>
          <w:b/>
          <w:bCs/>
          <w:lang w:val="en-US" w:eastAsia="zh-CN"/>
        </w:rPr>
        <w:t>Observation 9: Based on the single DL timing, UE has to send SRS or PRACH signals to micro to let NW determine the TA for micro link.</w:t>
      </w:r>
    </w:p>
    <w:p>
      <w:pPr>
        <w:pStyle w:val="9"/>
        <w:bidi w:val="0"/>
        <w:rPr>
          <w:rFonts w:hint="eastAsia"/>
          <w:b/>
          <w:bCs/>
          <w:lang w:val="en-US" w:eastAsia="zh-CN"/>
        </w:rPr>
      </w:pPr>
      <w:r>
        <w:rPr>
          <w:rFonts w:hint="eastAsia"/>
          <w:b/>
          <w:bCs/>
          <w:lang w:val="en-US" w:eastAsia="zh-CN"/>
        </w:rPr>
        <w:t>Proposal 7: Regarding how to identify the common DL timing for macro link and micro link, leverage the DL timing derivation identified in R18 MIMO, i.e. the single DL timing is determined as the reception of the first detected path (in time) of the corresponding downlink frame of the reference signal associated with UL/joint TCI state of macro link.</w:t>
      </w:r>
    </w:p>
    <w:p>
      <w:pPr>
        <w:pStyle w:val="9"/>
        <w:bidi w:val="0"/>
        <w:rPr>
          <w:rFonts w:hint="default"/>
          <w:b/>
          <w:bCs/>
          <w:lang w:val="en-US" w:eastAsia="zh-CN"/>
        </w:rPr>
      </w:pPr>
      <w:r>
        <w:rPr>
          <w:rFonts w:hint="eastAsia"/>
          <w:b/>
          <w:bCs/>
          <w:lang w:val="en-US" w:eastAsia="zh-CN"/>
        </w:rPr>
        <w:t>Proposal 8: Reuse the unified TCI state framework defined in R18 MIMO sDCI case as much as possible, just add the adaptation update to facilitate the multiple UL transmission.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58"/>
        <w:numPr>
          <w:ilvl w:val="0"/>
          <w:numId w:val="14"/>
        </w:numPr>
        <w:spacing w:after="120" w:line="288" w:lineRule="auto"/>
        <w:ind w:firstLineChars="0"/>
        <w:rPr>
          <w:rFonts w:hint="eastAsia"/>
          <w:color w:val="auto"/>
          <w:sz w:val="20"/>
          <w:szCs w:val="20"/>
          <w:highlight w:val="none"/>
          <w:lang w:val="en-US" w:eastAsia="zh-CN"/>
        </w:rPr>
      </w:pPr>
      <w:r>
        <w:rPr>
          <w:sz w:val="20"/>
          <w:szCs w:val="18"/>
          <w:lang w:val="en-US" w:eastAsia="ko-KR"/>
        </w:rPr>
        <w:t>RP-234007, New WID: NR MIMO Phase 5, RAN#102</w:t>
      </w:r>
    </w:p>
    <w:p>
      <w:pPr>
        <w:pStyle w:val="58"/>
        <w:numPr>
          <w:ilvl w:val="0"/>
          <w:numId w:val="14"/>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Final_Minutes_report_RAN1#116_v100</w:t>
      </w:r>
    </w:p>
    <w:p>
      <w:pPr>
        <w:pStyle w:val="58"/>
        <w:numPr>
          <w:ilvl w:val="0"/>
          <w:numId w:val="14"/>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Final_Minutes_report_RAN1#116b_v100</w:t>
      </w:r>
    </w:p>
    <w:p>
      <w:pPr>
        <w:pStyle w:val="58"/>
        <w:numPr>
          <w:ilvl w:val="0"/>
          <w:numId w:val="14"/>
        </w:numPr>
        <w:spacing w:after="120" w:line="288" w:lineRule="auto"/>
        <w:ind w:firstLineChars="0"/>
        <w:rPr>
          <w:rFonts w:hint="eastAsia"/>
          <w:color w:val="auto"/>
          <w:sz w:val="20"/>
          <w:szCs w:val="20"/>
          <w:highlight w:val="none"/>
          <w:lang w:val="en-US" w:eastAsia="zh-CN"/>
        </w:rPr>
      </w:pPr>
      <w:r>
        <w:rPr>
          <w:rFonts w:hint="eastAsia" w:eastAsia="宋体"/>
          <w:sz w:val="20"/>
          <w:szCs w:val="18"/>
          <w:lang w:val="en-US" w:eastAsia="zh-CN"/>
        </w:rPr>
        <w:t>Final_Minutes_report_RAN1#117_v020</w:t>
      </w:r>
    </w:p>
    <w:p>
      <w:pPr>
        <w:pStyle w:val="58"/>
        <w:numPr>
          <w:ilvl w:val="0"/>
          <w:numId w:val="0"/>
        </w:numPr>
        <w:spacing w:after="120" w:line="288" w:lineRule="auto"/>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v4.2.0">
    <w:altName w:val="Calibri"/>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52AF2"/>
    <w:multiLevelType w:val="multilevel"/>
    <w:tmpl w:val="BB552AF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CD73E307"/>
    <w:multiLevelType w:val="multilevel"/>
    <w:tmpl w:val="CD73E3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DB4CE38A"/>
    <w:multiLevelType w:val="multilevel"/>
    <w:tmpl w:val="DB4CE3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E124AD36"/>
    <w:multiLevelType w:val="singleLevel"/>
    <w:tmpl w:val="E124AD36"/>
    <w:lvl w:ilvl="0" w:tentative="0">
      <w:start w:val="1"/>
      <w:numFmt w:val="bullet"/>
      <w:lvlText w:val=""/>
      <w:lvlJc w:val="left"/>
      <w:pPr>
        <w:ind w:left="420" w:hanging="420"/>
      </w:pPr>
      <w:rPr>
        <w:rFonts w:hint="default" w:ascii="Wingdings" w:hAnsi="Wingdings"/>
      </w:rPr>
    </w:lvl>
  </w:abstractNum>
  <w:abstractNum w:abstractNumId="4">
    <w:nsid w:val="0AF03C44"/>
    <w:multiLevelType w:val="multilevel"/>
    <w:tmpl w:val="0AF03C44"/>
    <w:lvl w:ilvl="0" w:tentative="0">
      <w:start w:val="1"/>
      <w:numFmt w:val="decimal"/>
      <w:lvlText w:val="[%1]"/>
      <w:lvlJc w:val="left"/>
      <w:pPr>
        <w:ind w:left="36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2CF108F"/>
    <w:multiLevelType w:val="singleLevel"/>
    <w:tmpl w:val="42CF108F"/>
    <w:lvl w:ilvl="0" w:tentative="0">
      <w:start w:val="1"/>
      <w:numFmt w:val="bullet"/>
      <w:lvlText w:val=""/>
      <w:lvlJc w:val="left"/>
      <w:pPr>
        <w:ind w:left="420" w:hanging="420"/>
      </w:pPr>
      <w:rPr>
        <w:rFonts w:hint="default" w:ascii="Wingdings" w:hAnsi="Wingdings"/>
      </w:rPr>
    </w:lvl>
  </w:abstractNum>
  <w:abstractNum w:abstractNumId="7">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AE054A5"/>
    <w:multiLevelType w:val="multilevel"/>
    <w:tmpl w:val="4AE054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9">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6CF7219F"/>
    <w:multiLevelType w:val="singleLevel"/>
    <w:tmpl w:val="6CF7219F"/>
    <w:lvl w:ilvl="0" w:tentative="0">
      <w:start w:val="1"/>
      <w:numFmt w:val="decimal"/>
      <w:suff w:val="space"/>
      <w:lvlText w:val="%1)"/>
      <w:lvlJc w:val="left"/>
    </w:lvl>
  </w:abstractNum>
  <w:abstractNum w:abstractNumId="13">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1"/>
  </w:num>
  <w:num w:numId="2">
    <w:abstractNumId w:val="9"/>
  </w:num>
  <w:num w:numId="3">
    <w:abstractNumId w:val="5"/>
  </w:num>
  <w:num w:numId="4">
    <w:abstractNumId w:val="10"/>
  </w:num>
  <w:num w:numId="5">
    <w:abstractNumId w:val="13"/>
  </w:num>
  <w:num w:numId="6">
    <w:abstractNumId w:val="7"/>
  </w:num>
  <w:num w:numId="7">
    <w:abstractNumId w:val="12"/>
  </w:num>
  <w:num w:numId="8">
    <w:abstractNumId w:val="6"/>
  </w:num>
  <w:num w:numId="9">
    <w:abstractNumId w:val="0"/>
  </w:num>
  <w:num w:numId="10">
    <w:abstractNumId w:val="2"/>
  </w:num>
  <w:num w:numId="11">
    <w:abstractNumId w:val="1"/>
  </w:num>
  <w:num w:numId="12">
    <w:abstractNumId w:val="3"/>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13B7B"/>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39C0"/>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9553D"/>
    <w:rsid w:val="06E87421"/>
    <w:rsid w:val="06F15E1D"/>
    <w:rsid w:val="06F2189D"/>
    <w:rsid w:val="070B7354"/>
    <w:rsid w:val="07192D61"/>
    <w:rsid w:val="072A67BD"/>
    <w:rsid w:val="073E6558"/>
    <w:rsid w:val="074D5303"/>
    <w:rsid w:val="07516DF0"/>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7E44DB"/>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541DD"/>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22697"/>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CE2978"/>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E3030"/>
    <w:rsid w:val="24AF10AE"/>
    <w:rsid w:val="24B36018"/>
    <w:rsid w:val="24B904B5"/>
    <w:rsid w:val="24BA56EB"/>
    <w:rsid w:val="24D4257E"/>
    <w:rsid w:val="24D91A37"/>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963E0C"/>
    <w:rsid w:val="28B05368"/>
    <w:rsid w:val="28C81976"/>
    <w:rsid w:val="28FE4BB8"/>
    <w:rsid w:val="29106F5A"/>
    <w:rsid w:val="2926398A"/>
    <w:rsid w:val="2938186E"/>
    <w:rsid w:val="29472B8C"/>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453FA"/>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9F7CE9"/>
    <w:rsid w:val="34C43C38"/>
    <w:rsid w:val="34CB2E3B"/>
    <w:rsid w:val="34CD1A98"/>
    <w:rsid w:val="34CF2BD8"/>
    <w:rsid w:val="34ED1C61"/>
    <w:rsid w:val="34F04638"/>
    <w:rsid w:val="351457B8"/>
    <w:rsid w:val="353E0BCA"/>
    <w:rsid w:val="35444C30"/>
    <w:rsid w:val="354B524C"/>
    <w:rsid w:val="354B77FD"/>
    <w:rsid w:val="354F34D3"/>
    <w:rsid w:val="356E1F2A"/>
    <w:rsid w:val="3576225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12B12"/>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807EAE"/>
    <w:rsid w:val="408D50F6"/>
    <w:rsid w:val="408F4E71"/>
    <w:rsid w:val="40940A3E"/>
    <w:rsid w:val="409411F0"/>
    <w:rsid w:val="40A176E7"/>
    <w:rsid w:val="40C018E0"/>
    <w:rsid w:val="40C765F3"/>
    <w:rsid w:val="40CB19CC"/>
    <w:rsid w:val="40D57A9D"/>
    <w:rsid w:val="40E215B3"/>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5C3370"/>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8D6039"/>
    <w:rsid w:val="4D924A76"/>
    <w:rsid w:val="4D955C59"/>
    <w:rsid w:val="4DB824B4"/>
    <w:rsid w:val="4DBB15FF"/>
    <w:rsid w:val="4DBB403F"/>
    <w:rsid w:val="4DC33AEA"/>
    <w:rsid w:val="4DD23F54"/>
    <w:rsid w:val="4DD47439"/>
    <w:rsid w:val="4DD926D1"/>
    <w:rsid w:val="4DDA7A28"/>
    <w:rsid w:val="4DE5097C"/>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4FA1D2F"/>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355606"/>
    <w:rsid w:val="664B5C0B"/>
    <w:rsid w:val="665244EE"/>
    <w:rsid w:val="66547455"/>
    <w:rsid w:val="666B43E4"/>
    <w:rsid w:val="6678346C"/>
    <w:rsid w:val="66A32FBE"/>
    <w:rsid w:val="66B11862"/>
    <w:rsid w:val="66BF0A49"/>
    <w:rsid w:val="66C979C9"/>
    <w:rsid w:val="66CF222B"/>
    <w:rsid w:val="66E568FC"/>
    <w:rsid w:val="66E7282E"/>
    <w:rsid w:val="66F42EBF"/>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FE454F"/>
    <w:rsid w:val="6C055095"/>
    <w:rsid w:val="6C363058"/>
    <w:rsid w:val="6C460D0E"/>
    <w:rsid w:val="6C4A6633"/>
    <w:rsid w:val="6C522891"/>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40F06"/>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C22B3"/>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1"/>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9"/>
    <w:qFormat/>
    <w:uiPriority w:val="0"/>
  </w:style>
  <w:style w:type="character" w:customStyle="1" w:styleId="54">
    <w:name w:val="eop"/>
    <w:basedOn w:val="19"/>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스타일 스타일 스타일 스타일 양쪽 첫 줄:  2 글자 + 첫 줄:  2 글자 + 첫 줄:  2 글자 + 첫 줄:  2..."/>
    <w:basedOn w:val="59"/>
    <w:qFormat/>
    <w:uiPriority w:val="0"/>
    <w:pPr>
      <w:spacing w:line="336" w:lineRule="auto"/>
    </w:pPr>
  </w:style>
  <w:style w:type="paragraph" w:customStyle="1" w:styleId="59">
    <w:name w:val="스타일 스타일 스타일 양쪽 첫 줄:  2 글자 + 첫 줄:  2 글자 + 첫 줄:  2 글자"/>
    <w:basedOn w:val="60"/>
    <w:qFormat/>
    <w:uiPriority w:val="0"/>
    <w:pPr>
      <w:spacing w:line="312" w:lineRule="auto"/>
    </w:pPr>
  </w:style>
  <w:style w:type="paragraph" w:customStyle="1" w:styleId="60">
    <w:name w:val="스타일 스타일 양쪽 첫 줄:  2 글자 + 첫 줄:  2 글자"/>
    <w:basedOn w:val="61"/>
    <w:qFormat/>
    <w:uiPriority w:val="0"/>
    <w:pPr>
      <w:spacing w:line="300" w:lineRule="auto"/>
    </w:pPr>
  </w:style>
  <w:style w:type="paragraph" w:customStyle="1" w:styleId="61">
    <w:name w:val="스타일 양쪽 첫 줄:  2 글자"/>
    <w:basedOn w:val="1"/>
    <w:qFormat/>
    <w:uiPriority w:val="0"/>
    <w:pPr>
      <w:spacing w:line="288" w:lineRule="auto"/>
      <w:ind w:firstLine="200" w:firstLineChars="200"/>
      <w:jc w:val="both"/>
    </w:pPr>
    <w:rPr>
      <w:rFonts w:cs="Batang"/>
    </w:rPr>
  </w:style>
  <w:style w:type="paragraph" w:customStyle="1" w:styleId="62">
    <w:name w:val="0 Main text"/>
    <w:basedOn w:val="63"/>
    <w:qFormat/>
    <w:uiPriority w:val="0"/>
    <w:pPr>
      <w:spacing w:before="0" w:after="100" w:afterAutospacing="1"/>
      <w:ind w:firstLine="360" w:firstLineChars="0"/>
    </w:pPr>
    <w:rPr>
      <w:sz w:val="20"/>
      <w:lang w:eastAsia="en-US"/>
    </w:rPr>
  </w:style>
  <w:style w:type="paragraph" w:customStyle="1" w:styleId="63">
    <w:name w:val="main text"/>
    <w:basedOn w:val="1"/>
    <w:qFormat/>
    <w:uiPriority w:val="0"/>
    <w:pPr>
      <w:spacing w:before="60" w:after="60" w:line="288" w:lineRule="auto"/>
      <w:ind w:firstLine="200" w:firstLineChars="200"/>
      <w:jc w:val="both"/>
    </w:pPr>
    <w:rPr>
      <w:rFonts w:cs="Batang"/>
      <w:lang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8.wmf"/><Relationship Id="rId22" Type="http://schemas.openxmlformats.org/officeDocument/2006/relationships/oleObject" Target="embeddings/oleObject1.bin"/><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2024-08-09T15:52:36Z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